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7C7" w14:textId="77777777" w:rsidR="005D1823" w:rsidRDefault="003C0EB9">
      <w:pPr>
        <w:spacing w:after="0" w:line="259" w:lineRule="auto"/>
        <w:ind w:left="462" w:firstLine="0"/>
        <w:jc w:val="center"/>
      </w:pPr>
      <w:r>
        <w:rPr>
          <w:rFonts w:cs="Calibri"/>
          <w:b/>
          <w:sz w:val="44"/>
        </w:rPr>
        <w:t xml:space="preserve"> </w:t>
      </w:r>
    </w:p>
    <w:p w14:paraId="7290DD9D" w14:textId="77777777" w:rsidR="005D1823" w:rsidRDefault="003C0EB9">
      <w:pPr>
        <w:spacing w:after="0" w:line="259" w:lineRule="auto"/>
        <w:ind w:left="462" w:firstLine="0"/>
        <w:jc w:val="center"/>
      </w:pPr>
      <w:r>
        <w:rPr>
          <w:rFonts w:cs="Calibri"/>
          <w:b/>
          <w:sz w:val="44"/>
        </w:rPr>
        <w:t xml:space="preserve"> </w:t>
      </w:r>
    </w:p>
    <w:p w14:paraId="3A92C573" w14:textId="77777777" w:rsidR="005D1823" w:rsidRDefault="003C0EB9">
      <w:pPr>
        <w:spacing w:after="18" w:line="259" w:lineRule="auto"/>
        <w:ind w:left="462" w:firstLine="0"/>
        <w:jc w:val="center"/>
      </w:pPr>
      <w:r>
        <w:rPr>
          <w:rFonts w:cs="Calibri"/>
          <w:b/>
          <w:sz w:val="44"/>
        </w:rPr>
        <w:t xml:space="preserve"> </w:t>
      </w:r>
    </w:p>
    <w:p w14:paraId="2BAD9888" w14:textId="77777777" w:rsidR="005D1823" w:rsidRDefault="003C0EB9">
      <w:pPr>
        <w:spacing w:after="0" w:line="259" w:lineRule="auto"/>
        <w:ind w:left="2742" w:firstLine="0"/>
      </w:pPr>
      <w:r>
        <w:rPr>
          <w:rFonts w:cs="Calibri"/>
          <w:b/>
          <w:sz w:val="44"/>
        </w:rPr>
        <w:t>Guidelines for Faculty</w:t>
      </w:r>
      <w:r>
        <w:rPr>
          <w:rFonts w:cs="Calibri"/>
          <w:b/>
          <w:sz w:val="48"/>
        </w:rPr>
        <w:t xml:space="preserve"> E</w:t>
      </w:r>
      <w:r>
        <w:rPr>
          <w:rFonts w:cs="Calibri"/>
          <w:b/>
          <w:sz w:val="44"/>
        </w:rPr>
        <w:t xml:space="preserve">valuation  </w:t>
      </w:r>
    </w:p>
    <w:p w14:paraId="3DC16562" w14:textId="77777777" w:rsidR="005D1823" w:rsidRDefault="003C0EB9">
      <w:pPr>
        <w:spacing w:after="0" w:line="242" w:lineRule="auto"/>
        <w:ind w:left="1616" w:right="1159" w:firstLine="0"/>
        <w:jc w:val="center"/>
      </w:pPr>
      <w:r>
        <w:rPr>
          <w:rFonts w:cs="Calibri"/>
          <w:b/>
          <w:sz w:val="44"/>
        </w:rPr>
        <w:t xml:space="preserve">Department of Geology and Geophysics Texas A&amp;M University </w:t>
      </w:r>
    </w:p>
    <w:p w14:paraId="3F5B417C" w14:textId="77777777" w:rsidR="005D1823" w:rsidRDefault="003C0EB9">
      <w:pPr>
        <w:spacing w:after="0" w:line="259" w:lineRule="auto"/>
        <w:ind w:left="412" w:firstLine="0"/>
        <w:jc w:val="center"/>
      </w:pPr>
      <w:r>
        <w:rPr>
          <w:rFonts w:cs="Calibri"/>
          <w:b/>
        </w:rPr>
        <w:t xml:space="preserve"> </w:t>
      </w:r>
    </w:p>
    <w:p w14:paraId="2AEC0691" w14:textId="77777777" w:rsidR="005D1823" w:rsidRDefault="003C0EB9">
      <w:pPr>
        <w:spacing w:after="0" w:line="259" w:lineRule="auto"/>
        <w:ind w:left="412" w:firstLine="0"/>
        <w:jc w:val="center"/>
      </w:pPr>
      <w:r>
        <w:rPr>
          <w:rFonts w:cs="Calibri"/>
          <w:b/>
        </w:rPr>
        <w:t xml:space="preserve"> </w:t>
      </w:r>
    </w:p>
    <w:p w14:paraId="3BC4BE52" w14:textId="77777777" w:rsidR="005D1823" w:rsidRDefault="003C0EB9">
      <w:pPr>
        <w:spacing w:after="0" w:line="259" w:lineRule="auto"/>
        <w:ind w:left="412" w:firstLine="0"/>
        <w:jc w:val="center"/>
      </w:pPr>
      <w:r>
        <w:rPr>
          <w:rFonts w:cs="Calibri"/>
          <w:b/>
        </w:rPr>
        <w:t xml:space="preserve"> </w:t>
      </w:r>
    </w:p>
    <w:p w14:paraId="05C61ADF" w14:textId="77777777" w:rsidR="005D1823" w:rsidRDefault="003C0EB9">
      <w:pPr>
        <w:spacing w:after="0" w:line="259" w:lineRule="auto"/>
        <w:ind w:left="412" w:firstLine="0"/>
        <w:jc w:val="center"/>
      </w:pPr>
      <w:r>
        <w:rPr>
          <w:rFonts w:cs="Calibri"/>
          <w:b/>
        </w:rPr>
        <w:t xml:space="preserve"> </w:t>
      </w:r>
    </w:p>
    <w:p w14:paraId="1C0190A4" w14:textId="77777777" w:rsidR="005D1823" w:rsidRDefault="003C0EB9">
      <w:pPr>
        <w:spacing w:after="0" w:line="259" w:lineRule="auto"/>
        <w:ind w:left="412" w:firstLine="0"/>
        <w:jc w:val="center"/>
      </w:pPr>
      <w:r>
        <w:rPr>
          <w:rFonts w:cs="Calibri"/>
          <w:b/>
        </w:rPr>
        <w:t xml:space="preserve"> </w:t>
      </w:r>
    </w:p>
    <w:p w14:paraId="03169CD4" w14:textId="77777777" w:rsidR="005D1823" w:rsidRDefault="003C0EB9">
      <w:pPr>
        <w:spacing w:after="0" w:line="259" w:lineRule="auto"/>
        <w:ind w:left="3852"/>
      </w:pPr>
      <w:r>
        <w:rPr>
          <w:rFonts w:cs="Calibri"/>
          <w:b/>
          <w:sz w:val="24"/>
        </w:rPr>
        <w:t xml:space="preserve">Approved by Faculty, January 15, 2021 </w:t>
      </w:r>
    </w:p>
    <w:p w14:paraId="5A84E680" w14:textId="77777777" w:rsidR="00254E08" w:rsidRDefault="003C0EB9" w:rsidP="00254E08">
      <w:pPr>
        <w:spacing w:after="0" w:line="259" w:lineRule="auto"/>
        <w:ind w:left="3237"/>
        <w:rPr>
          <w:rFonts w:cs="Calibri"/>
          <w:b/>
          <w:sz w:val="24"/>
        </w:rPr>
      </w:pPr>
      <w:r>
        <w:rPr>
          <w:rFonts w:cs="Calibri"/>
          <w:b/>
          <w:sz w:val="24"/>
        </w:rPr>
        <w:t>Updated and approved by Faculty, January 6, 2025</w:t>
      </w:r>
    </w:p>
    <w:p w14:paraId="620DDC21" w14:textId="77777777" w:rsidR="00BA78C1" w:rsidRDefault="00BA78C1" w:rsidP="00BA78C1">
      <w:pPr>
        <w:spacing w:after="0" w:line="259" w:lineRule="auto"/>
        <w:ind w:left="720"/>
        <w:jc w:val="center"/>
        <w:rPr>
          <w:rFonts w:cs="Calibri"/>
          <w:b/>
          <w:sz w:val="24"/>
        </w:rPr>
      </w:pPr>
      <w:r>
        <w:rPr>
          <w:rFonts w:cs="Calibri"/>
          <w:b/>
          <w:sz w:val="24"/>
        </w:rPr>
        <w:t>DRAFT UPDATE March 4; approved by faculty vote</w:t>
      </w:r>
    </w:p>
    <w:p w14:paraId="2A918A87" w14:textId="0AAFDB9E" w:rsidR="004D0D9F" w:rsidRDefault="004D0D9F" w:rsidP="00BA78C1">
      <w:pPr>
        <w:spacing w:after="0" w:line="259" w:lineRule="auto"/>
        <w:ind w:left="720"/>
        <w:jc w:val="center"/>
      </w:pPr>
      <w:r>
        <w:rPr>
          <w:rFonts w:cs="Calibri"/>
          <w:b/>
          <w:sz w:val="24"/>
        </w:rPr>
        <w:t xml:space="preserve">Approved by </w:t>
      </w:r>
      <w:proofErr w:type="spellStart"/>
      <w:r>
        <w:rPr>
          <w:rFonts w:cs="Calibri"/>
          <w:b/>
          <w:sz w:val="24"/>
        </w:rPr>
        <w:t>ArtSci</w:t>
      </w:r>
      <w:proofErr w:type="spellEnd"/>
      <w:r>
        <w:rPr>
          <w:rFonts w:cs="Calibri"/>
          <w:b/>
          <w:sz w:val="24"/>
        </w:rPr>
        <w:t xml:space="preserve"> Faculty Affairs: March 6, 2026</w:t>
      </w:r>
    </w:p>
    <w:p w14:paraId="126A4D13" w14:textId="77777777" w:rsidR="00413B58" w:rsidRPr="00413B58" w:rsidRDefault="00413B58" w:rsidP="00413B58">
      <w:pPr>
        <w:spacing w:after="0" w:line="240" w:lineRule="auto"/>
        <w:contextualSpacing/>
        <w:jc w:val="center"/>
        <w:rPr>
          <w:b/>
          <w:bCs/>
          <w:sz w:val="24"/>
        </w:rPr>
      </w:pPr>
      <w:r w:rsidRPr="00413B58">
        <w:rPr>
          <w:b/>
          <w:bCs/>
          <w:sz w:val="24"/>
        </w:rPr>
        <w:t>Approved by the Office of Faculty Affairs, March 31, 2026</w:t>
      </w:r>
    </w:p>
    <w:p w14:paraId="14B65674" w14:textId="77777777" w:rsidR="005D1823" w:rsidRPr="00413B58" w:rsidRDefault="003C0EB9">
      <w:pPr>
        <w:spacing w:after="55" w:line="259" w:lineRule="auto"/>
        <w:ind w:left="422" w:firstLine="0"/>
        <w:jc w:val="center"/>
        <w:rPr>
          <w:sz w:val="24"/>
        </w:rPr>
      </w:pPr>
      <w:r w:rsidRPr="00413B58">
        <w:rPr>
          <w:rFonts w:ascii="Times New Roman" w:eastAsia="Times New Roman" w:hAnsi="Times New Roman"/>
          <w:b/>
          <w:sz w:val="24"/>
        </w:rPr>
        <w:t xml:space="preserve"> </w:t>
      </w:r>
    </w:p>
    <w:p w14:paraId="321F557E" w14:textId="77777777" w:rsidR="005D1823" w:rsidRDefault="003C0EB9">
      <w:pPr>
        <w:spacing w:after="0" w:line="259" w:lineRule="auto"/>
        <w:ind w:left="361" w:firstLine="0"/>
      </w:pPr>
      <w:r>
        <w:rPr>
          <w:rFonts w:cs="Calibri"/>
          <w:sz w:val="32"/>
        </w:rPr>
        <w:t xml:space="preserve"> </w:t>
      </w:r>
    </w:p>
    <w:p w14:paraId="771F82D6" w14:textId="77777777" w:rsidR="005D1823" w:rsidRDefault="003C0EB9">
      <w:pPr>
        <w:spacing w:after="0" w:line="259" w:lineRule="auto"/>
        <w:ind w:left="361" w:firstLine="0"/>
      </w:pPr>
      <w:r>
        <w:rPr>
          <w:rFonts w:cs="Calibri"/>
          <w:sz w:val="32"/>
        </w:rPr>
        <w:t xml:space="preserve"> </w:t>
      </w:r>
    </w:p>
    <w:p w14:paraId="0EEB3133" w14:textId="77777777" w:rsidR="005D1823" w:rsidRDefault="003C0EB9">
      <w:pPr>
        <w:spacing w:after="0" w:line="259" w:lineRule="auto"/>
        <w:ind w:left="361" w:firstLine="0"/>
      </w:pPr>
      <w:r>
        <w:rPr>
          <w:rFonts w:cs="Calibri"/>
          <w:sz w:val="32"/>
        </w:rPr>
        <w:t xml:space="preserve"> </w:t>
      </w:r>
    </w:p>
    <w:p w14:paraId="6FCB22C1" w14:textId="77777777" w:rsidR="005D1823" w:rsidRDefault="003C0EB9">
      <w:pPr>
        <w:spacing w:after="0" w:line="259" w:lineRule="auto"/>
        <w:ind w:left="361" w:firstLine="0"/>
      </w:pPr>
      <w:r>
        <w:rPr>
          <w:rFonts w:cs="Calibri"/>
          <w:sz w:val="32"/>
        </w:rPr>
        <w:t xml:space="preserve"> </w:t>
      </w:r>
    </w:p>
    <w:p w14:paraId="5F012CEA" w14:textId="77777777" w:rsidR="005D1823" w:rsidRDefault="003C0EB9">
      <w:pPr>
        <w:spacing w:after="0" w:line="259" w:lineRule="auto"/>
        <w:ind w:left="361" w:firstLine="0"/>
      </w:pPr>
      <w:r>
        <w:rPr>
          <w:rFonts w:cs="Calibri"/>
          <w:sz w:val="32"/>
        </w:rPr>
        <w:t xml:space="preserve"> </w:t>
      </w:r>
    </w:p>
    <w:p w14:paraId="4B24EEF0" w14:textId="77777777" w:rsidR="005D1823" w:rsidRDefault="003C0EB9">
      <w:pPr>
        <w:spacing w:after="0" w:line="259" w:lineRule="auto"/>
        <w:ind w:left="361" w:firstLine="0"/>
      </w:pPr>
      <w:r>
        <w:rPr>
          <w:rFonts w:cs="Calibri"/>
          <w:sz w:val="32"/>
        </w:rPr>
        <w:t xml:space="preserve"> </w:t>
      </w:r>
    </w:p>
    <w:p w14:paraId="62EF5689" w14:textId="77777777" w:rsidR="005D1823" w:rsidRDefault="003C0EB9">
      <w:pPr>
        <w:spacing w:after="0" w:line="259" w:lineRule="auto"/>
        <w:ind w:left="361" w:firstLine="0"/>
      </w:pPr>
      <w:r>
        <w:rPr>
          <w:rFonts w:cs="Calibri"/>
          <w:sz w:val="32"/>
        </w:rPr>
        <w:t xml:space="preserve"> </w:t>
      </w:r>
    </w:p>
    <w:p w14:paraId="12D7AE73" w14:textId="77777777" w:rsidR="005D1823" w:rsidRDefault="003C0EB9">
      <w:pPr>
        <w:spacing w:after="0" w:line="259" w:lineRule="auto"/>
        <w:ind w:left="361" w:firstLine="0"/>
      </w:pPr>
      <w:r>
        <w:rPr>
          <w:rFonts w:cs="Calibri"/>
          <w:sz w:val="32"/>
        </w:rPr>
        <w:t xml:space="preserve"> </w:t>
      </w:r>
    </w:p>
    <w:p w14:paraId="774C1BBC" w14:textId="77777777" w:rsidR="005D1823" w:rsidRDefault="003C0EB9">
      <w:pPr>
        <w:spacing w:after="0" w:line="259" w:lineRule="auto"/>
        <w:ind w:left="361" w:firstLine="0"/>
      </w:pPr>
      <w:r>
        <w:rPr>
          <w:rFonts w:cs="Calibri"/>
          <w:sz w:val="32"/>
        </w:rPr>
        <w:t xml:space="preserve"> </w:t>
      </w:r>
    </w:p>
    <w:p w14:paraId="3DD0F0B6" w14:textId="77777777" w:rsidR="005D1823" w:rsidRDefault="003C0EB9">
      <w:pPr>
        <w:spacing w:after="0" w:line="259" w:lineRule="auto"/>
        <w:ind w:left="361" w:firstLine="0"/>
      </w:pPr>
      <w:r>
        <w:rPr>
          <w:rFonts w:cs="Calibri"/>
          <w:sz w:val="32"/>
        </w:rPr>
        <w:t xml:space="preserve"> </w:t>
      </w:r>
    </w:p>
    <w:p w14:paraId="13AF41DF" w14:textId="77777777" w:rsidR="005D1823" w:rsidRDefault="003C0EB9">
      <w:pPr>
        <w:spacing w:after="0" w:line="259" w:lineRule="auto"/>
        <w:ind w:left="361" w:firstLine="0"/>
      </w:pPr>
      <w:r>
        <w:rPr>
          <w:rFonts w:cs="Calibri"/>
          <w:sz w:val="32"/>
        </w:rPr>
        <w:t xml:space="preserve"> </w:t>
      </w:r>
    </w:p>
    <w:p w14:paraId="457ED3FD" w14:textId="77777777" w:rsidR="005D1823" w:rsidRDefault="003C0EB9">
      <w:pPr>
        <w:spacing w:after="0" w:line="259" w:lineRule="auto"/>
        <w:ind w:left="361" w:firstLine="0"/>
      </w:pPr>
      <w:r>
        <w:rPr>
          <w:rFonts w:cs="Calibri"/>
          <w:sz w:val="32"/>
        </w:rPr>
        <w:t xml:space="preserve"> </w:t>
      </w:r>
    </w:p>
    <w:p w14:paraId="2D9771CB" w14:textId="77777777" w:rsidR="005D1823" w:rsidRDefault="003C0EB9">
      <w:pPr>
        <w:spacing w:after="0" w:line="259" w:lineRule="auto"/>
        <w:ind w:left="361" w:firstLine="0"/>
        <w:rPr>
          <w:rFonts w:cs="Calibri"/>
          <w:sz w:val="32"/>
        </w:rPr>
      </w:pPr>
      <w:r>
        <w:rPr>
          <w:rFonts w:cs="Calibri"/>
          <w:sz w:val="32"/>
        </w:rPr>
        <w:t xml:space="preserve"> </w:t>
      </w:r>
    </w:p>
    <w:p w14:paraId="44D41C91" w14:textId="77777777" w:rsidR="00E67AB3" w:rsidRDefault="00E67AB3">
      <w:pPr>
        <w:spacing w:after="0" w:line="259" w:lineRule="auto"/>
        <w:ind w:left="361" w:firstLine="0"/>
        <w:rPr>
          <w:rFonts w:cs="Calibri"/>
          <w:sz w:val="32"/>
        </w:rPr>
      </w:pPr>
    </w:p>
    <w:p w14:paraId="205CD3F0" w14:textId="77777777" w:rsidR="00E67AB3" w:rsidRDefault="00E67AB3">
      <w:pPr>
        <w:spacing w:after="0" w:line="259" w:lineRule="auto"/>
        <w:ind w:left="361" w:firstLine="0"/>
        <w:rPr>
          <w:rFonts w:cs="Calibri"/>
          <w:sz w:val="32"/>
        </w:rPr>
      </w:pPr>
    </w:p>
    <w:p w14:paraId="1439E71A" w14:textId="77777777" w:rsidR="00E67AB3" w:rsidRDefault="00E67AB3">
      <w:pPr>
        <w:spacing w:after="0" w:line="259" w:lineRule="auto"/>
        <w:ind w:left="361" w:firstLine="0"/>
      </w:pPr>
    </w:p>
    <w:p w14:paraId="25F54D44" w14:textId="77777777" w:rsidR="005D1823" w:rsidRDefault="003C0EB9">
      <w:pPr>
        <w:spacing w:after="0" w:line="259" w:lineRule="auto"/>
        <w:ind w:left="361" w:firstLine="0"/>
      </w:pPr>
      <w:r>
        <w:rPr>
          <w:rFonts w:cs="Calibri"/>
          <w:sz w:val="32"/>
        </w:rPr>
        <w:t xml:space="preserve"> </w:t>
      </w:r>
    </w:p>
    <w:p w14:paraId="4EA1FF58" w14:textId="77777777" w:rsidR="005D1823" w:rsidRDefault="003C0EB9">
      <w:pPr>
        <w:spacing w:after="0" w:line="259" w:lineRule="auto"/>
        <w:ind w:left="361" w:firstLine="0"/>
      </w:pPr>
      <w:r>
        <w:rPr>
          <w:rFonts w:cs="Calibri"/>
          <w:sz w:val="32"/>
        </w:rPr>
        <w:t xml:space="preserve"> </w:t>
      </w:r>
    </w:p>
    <w:p w14:paraId="37CDC469" w14:textId="77777777" w:rsidR="005D1823" w:rsidRDefault="003C0EB9">
      <w:pPr>
        <w:spacing w:after="0" w:line="259" w:lineRule="auto"/>
        <w:ind w:left="361" w:firstLine="0"/>
      </w:pPr>
      <w:r>
        <w:rPr>
          <w:rFonts w:cs="Calibri"/>
          <w:sz w:val="32"/>
        </w:rPr>
        <w:t xml:space="preserve"> </w:t>
      </w:r>
    </w:p>
    <w:p w14:paraId="6BF4CA22" w14:textId="77777777" w:rsidR="005D1823" w:rsidRDefault="003C0EB9">
      <w:pPr>
        <w:spacing w:after="0" w:line="259" w:lineRule="auto"/>
        <w:ind w:left="361" w:firstLine="0"/>
      </w:pPr>
      <w:r>
        <w:rPr>
          <w:rFonts w:cs="Calibri"/>
          <w:sz w:val="32"/>
        </w:rPr>
        <w:t xml:space="preserve"> </w:t>
      </w:r>
    </w:p>
    <w:p w14:paraId="28FB59F6" w14:textId="77777777" w:rsidR="005D1823" w:rsidRDefault="003C0EB9">
      <w:pPr>
        <w:spacing w:after="0" w:line="259" w:lineRule="auto"/>
        <w:ind w:left="361" w:firstLine="0"/>
      </w:pPr>
      <w:r>
        <w:rPr>
          <w:rFonts w:cs="Calibri"/>
          <w:sz w:val="32"/>
        </w:rPr>
        <w:t xml:space="preserve"> </w:t>
      </w:r>
    </w:p>
    <w:p w14:paraId="4DB70384" w14:textId="77777777" w:rsidR="005D1823" w:rsidRDefault="003C0EB9">
      <w:pPr>
        <w:spacing w:after="0" w:line="259" w:lineRule="auto"/>
        <w:ind w:left="361" w:firstLine="0"/>
      </w:pPr>
      <w:r>
        <w:rPr>
          <w:rFonts w:cs="Calibri"/>
          <w:sz w:val="32"/>
        </w:rPr>
        <w:t xml:space="preserve"> </w:t>
      </w:r>
    </w:p>
    <w:p w14:paraId="010EADEF" w14:textId="77777777" w:rsidR="005D1823" w:rsidRDefault="003C0EB9">
      <w:pPr>
        <w:spacing w:after="0" w:line="259" w:lineRule="auto"/>
        <w:ind w:left="361" w:firstLine="0"/>
      </w:pPr>
      <w:r>
        <w:rPr>
          <w:rFonts w:cs="Calibri"/>
          <w:sz w:val="32"/>
        </w:rPr>
        <w:t xml:space="preserve"> </w:t>
      </w:r>
    </w:p>
    <w:p w14:paraId="2B33482C" w14:textId="77777777" w:rsidR="005D1823" w:rsidRDefault="003C0EB9">
      <w:pPr>
        <w:spacing w:after="0" w:line="259" w:lineRule="auto"/>
        <w:ind w:left="361" w:firstLine="0"/>
      </w:pPr>
      <w:r>
        <w:rPr>
          <w:rFonts w:cs="Calibri"/>
          <w:sz w:val="32"/>
        </w:rPr>
        <w:lastRenderedPageBreak/>
        <w:t xml:space="preserve"> </w:t>
      </w:r>
    </w:p>
    <w:p w14:paraId="6964891D" w14:textId="77777777" w:rsidR="005D1823" w:rsidRDefault="003C0EB9">
      <w:pPr>
        <w:spacing w:after="262" w:line="259" w:lineRule="auto"/>
        <w:ind w:left="361" w:firstLine="0"/>
      </w:pPr>
      <w:r>
        <w:rPr>
          <w:rFonts w:ascii="Cambria" w:eastAsia="Cambria" w:hAnsi="Cambria" w:cs="Cambria"/>
          <w:sz w:val="32"/>
        </w:rPr>
        <w:t xml:space="preserve"> </w:t>
      </w:r>
    </w:p>
    <w:p w14:paraId="50ED0DAA" w14:textId="77777777" w:rsidR="005D1823" w:rsidRDefault="003C0EB9">
      <w:pPr>
        <w:spacing w:after="0" w:line="259" w:lineRule="auto"/>
        <w:ind w:left="356"/>
      </w:pPr>
      <w:r>
        <w:rPr>
          <w:rFonts w:ascii="Cambria" w:eastAsia="Cambria" w:hAnsi="Cambria" w:cs="Cambria"/>
          <w:color w:val="366091"/>
          <w:sz w:val="32"/>
        </w:rPr>
        <w:t xml:space="preserve">Table of Contents </w:t>
      </w:r>
    </w:p>
    <w:p w14:paraId="3132191C" w14:textId="77777777" w:rsidR="005D1823" w:rsidRDefault="003C0EB9">
      <w:pPr>
        <w:spacing w:after="0" w:line="259" w:lineRule="auto"/>
        <w:ind w:left="361" w:firstLine="0"/>
      </w:pPr>
      <w:r>
        <w:rPr>
          <w:rFonts w:ascii="Times New Roman" w:eastAsia="Times New Roman" w:hAnsi="Times New Roman"/>
        </w:rPr>
        <w:t xml:space="preserve"> </w:t>
      </w:r>
    </w:p>
    <w:p w14:paraId="69FA25A7" w14:textId="77777777" w:rsidR="005D1823" w:rsidRDefault="003C0EB9">
      <w:pPr>
        <w:tabs>
          <w:tab w:val="center" w:pos="800"/>
          <w:tab w:val="right" w:pos="11163"/>
        </w:tabs>
        <w:spacing w:after="0" w:line="266" w:lineRule="auto"/>
        <w:ind w:left="0" w:firstLine="0"/>
      </w:pPr>
      <w:r>
        <w:rPr>
          <w:rFonts w:cs="Calibri"/>
        </w:rPr>
        <w:tab/>
      </w:r>
      <w:r>
        <w:t xml:space="preserve">Section 1: </w:t>
      </w:r>
      <w:r>
        <w:tab/>
        <w:t>Introduction</w:t>
      </w:r>
      <w:r>
        <w:rPr>
          <w:rFonts w:cs="Calibri"/>
        </w:rPr>
        <w:t>…………………………………………………………………………………………………………………….………………………</w:t>
      </w:r>
      <w:r>
        <w:t xml:space="preserve">3  </w:t>
      </w:r>
    </w:p>
    <w:p w14:paraId="3C8379BE" w14:textId="77777777" w:rsidR="005D1823" w:rsidRDefault="003C0EB9">
      <w:pPr>
        <w:tabs>
          <w:tab w:val="center" w:pos="800"/>
          <w:tab w:val="right" w:pos="11163"/>
        </w:tabs>
        <w:spacing w:after="0" w:line="266" w:lineRule="auto"/>
        <w:ind w:left="0" w:firstLine="0"/>
      </w:pPr>
      <w:r>
        <w:rPr>
          <w:rFonts w:cs="Calibri"/>
        </w:rPr>
        <w:tab/>
      </w:r>
      <w:r>
        <w:t xml:space="preserve">Section 2: </w:t>
      </w:r>
      <w:r>
        <w:tab/>
        <w:t>Faculty Tracks and Ranks</w:t>
      </w:r>
      <w:r>
        <w:rPr>
          <w:rFonts w:cs="Calibri"/>
        </w:rPr>
        <w:t>……………………………………………………………………………………………………………….……</w:t>
      </w:r>
      <w:proofErr w:type="gramStart"/>
      <w:r>
        <w:rPr>
          <w:rFonts w:cs="Calibri"/>
        </w:rPr>
        <w:t>…..</w:t>
      </w:r>
      <w:proofErr w:type="gramEnd"/>
      <w:r>
        <w:t xml:space="preserve">3 </w:t>
      </w:r>
    </w:p>
    <w:p w14:paraId="1AE25474"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2.1          </w:t>
      </w:r>
      <w:r>
        <w:rPr>
          <w:rFonts w:cs="Calibri"/>
          <w:i/>
        </w:rPr>
        <w:t>Faculty Tracks and Ranks</w:t>
      </w:r>
      <w:r>
        <w:rPr>
          <w:rFonts w:cs="Calibri"/>
        </w:rPr>
        <w:t>……………………………………………………………</w:t>
      </w:r>
      <w:proofErr w:type="gramStart"/>
      <w:r>
        <w:rPr>
          <w:rFonts w:cs="Calibri"/>
        </w:rPr>
        <w:t>…..</w:t>
      </w:r>
      <w:proofErr w:type="gramEnd"/>
      <w:r>
        <w:rPr>
          <w:rFonts w:cs="Calibri"/>
        </w:rPr>
        <w:t>…………………………………………………………….</w:t>
      </w:r>
      <w:r>
        <w:t xml:space="preserve">3  </w:t>
      </w:r>
    </w:p>
    <w:p w14:paraId="77CEA53A" w14:textId="77777777" w:rsidR="005D1823" w:rsidRDefault="003C0EB9">
      <w:pPr>
        <w:tabs>
          <w:tab w:val="center" w:pos="800"/>
          <w:tab w:val="right" w:pos="11163"/>
        </w:tabs>
        <w:ind w:left="0" w:firstLine="0"/>
      </w:pPr>
      <w:r>
        <w:rPr>
          <w:rFonts w:cs="Calibri"/>
        </w:rPr>
        <w:tab/>
      </w:r>
      <w:r>
        <w:t xml:space="preserve">Section 3: </w:t>
      </w:r>
      <w:r>
        <w:tab/>
        <w:t xml:space="preserve">Expectations for Areas of Faculty Performance </w:t>
      </w:r>
      <w:r>
        <w:rPr>
          <w:rFonts w:cs="Calibri"/>
        </w:rPr>
        <w:t>………………………………………………………………………………………</w:t>
      </w:r>
      <w:r>
        <w:t xml:space="preserve">5 </w:t>
      </w:r>
    </w:p>
    <w:p w14:paraId="4DA5A006" w14:textId="77777777" w:rsidR="005D1823" w:rsidRDefault="003C0EB9">
      <w:pPr>
        <w:spacing w:after="0" w:line="259" w:lineRule="auto"/>
        <w:ind w:left="10" w:right="17"/>
        <w:jc w:val="right"/>
      </w:pPr>
      <w:r>
        <w:t xml:space="preserve">3.1          </w:t>
      </w:r>
      <w:r>
        <w:rPr>
          <w:rFonts w:cs="Calibri"/>
          <w:i/>
        </w:rPr>
        <w:t>Teaching</w:t>
      </w:r>
      <w:r>
        <w:rPr>
          <w:rFonts w:cs="Calibri"/>
        </w:rPr>
        <w:t>……………………………………………………………………………………………………………………………………………………….</w:t>
      </w:r>
      <w:r>
        <w:t xml:space="preserve">5 </w:t>
      </w:r>
    </w:p>
    <w:p w14:paraId="65F8ED0E" w14:textId="77777777" w:rsidR="005D1823" w:rsidRDefault="003C0EB9">
      <w:pPr>
        <w:spacing w:after="0" w:line="259" w:lineRule="auto"/>
        <w:ind w:left="0" w:right="1" w:firstLine="0"/>
        <w:jc w:val="right"/>
      </w:pPr>
      <w:r>
        <w:t xml:space="preserve">3.2         </w:t>
      </w:r>
      <w:r>
        <w:rPr>
          <w:rFonts w:cs="Calibri"/>
          <w:i/>
        </w:rPr>
        <w:t>Research, Scholarly Activity or Creative Work</w:t>
      </w:r>
      <w:r>
        <w:rPr>
          <w:rFonts w:cs="Calibri"/>
        </w:rPr>
        <w:t>……………………………………………………………………………………………</w:t>
      </w:r>
      <w:proofErr w:type="gramStart"/>
      <w:r>
        <w:rPr>
          <w:rFonts w:cs="Calibri"/>
        </w:rPr>
        <w:t>…..</w:t>
      </w:r>
      <w:proofErr w:type="gramEnd"/>
      <w:r>
        <w:t xml:space="preserve">5 </w:t>
      </w:r>
    </w:p>
    <w:p w14:paraId="19AB1AFD" w14:textId="77777777" w:rsidR="005D1823" w:rsidRDefault="003C0EB9">
      <w:pPr>
        <w:spacing w:after="0" w:line="266" w:lineRule="auto"/>
        <w:ind w:left="346" w:firstLine="360"/>
      </w:pPr>
      <w:r>
        <w:t xml:space="preserve">3.3         </w:t>
      </w:r>
      <w:r>
        <w:rPr>
          <w:rFonts w:cs="Calibri"/>
          <w:i/>
        </w:rPr>
        <w:t>Service</w:t>
      </w:r>
      <w:r>
        <w:rPr>
          <w:rFonts w:cs="Calibri"/>
        </w:rPr>
        <w:t>…………………………………………………………………………………………………………………………………………………………..</w:t>
      </w:r>
      <w:r>
        <w:t>6 Section 4: Indicators of Faculty Excellence and Effectiveness</w:t>
      </w:r>
      <w:r>
        <w:rPr>
          <w:rFonts w:cs="Calibri"/>
        </w:rPr>
        <w:t>…………………………………………………………………………………..</w:t>
      </w:r>
      <w:r>
        <w:t xml:space="preserve">6 </w:t>
      </w:r>
    </w:p>
    <w:p w14:paraId="54371AC6"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4.1         </w:t>
      </w:r>
      <w:r>
        <w:rPr>
          <w:rFonts w:cs="Calibri"/>
          <w:i/>
        </w:rPr>
        <w:t>Indicators of Effectiveness in Teaching includes, but is not limited to</w:t>
      </w:r>
      <w:r>
        <w:rPr>
          <w:rFonts w:cs="Calibri"/>
        </w:rPr>
        <w:t>…………………………………………………………….</w:t>
      </w:r>
      <w:r>
        <w:t xml:space="preserve">6 </w:t>
      </w:r>
    </w:p>
    <w:p w14:paraId="610B06FA"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4.2         </w:t>
      </w:r>
      <w:r>
        <w:rPr>
          <w:rFonts w:cs="Calibri"/>
          <w:i/>
        </w:rPr>
        <w:t>Indicators of Excellence in Teaching includes, but is not limited to</w:t>
      </w:r>
      <w:r>
        <w:rPr>
          <w:rFonts w:cs="Calibri"/>
        </w:rPr>
        <w:t>…………………………………………………………………</w:t>
      </w:r>
      <w:r>
        <w:t xml:space="preserve">6 </w:t>
      </w:r>
    </w:p>
    <w:p w14:paraId="7F1797FB"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4.3         </w:t>
      </w:r>
      <w:r>
        <w:rPr>
          <w:rFonts w:cs="Calibri"/>
          <w:i/>
        </w:rPr>
        <w:t>Indicators of Effectiveness in Research/Scholarly Activity/Creative Work include, but is not limited to</w:t>
      </w:r>
      <w:r>
        <w:rPr>
          <w:rFonts w:cs="Calibri"/>
        </w:rPr>
        <w:t>………….</w:t>
      </w:r>
      <w:r>
        <w:t xml:space="preserve">7 </w:t>
      </w:r>
    </w:p>
    <w:p w14:paraId="472E7F5B"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4.4         </w:t>
      </w:r>
      <w:r>
        <w:rPr>
          <w:rFonts w:cs="Calibri"/>
          <w:i/>
        </w:rPr>
        <w:t>Indicators of Excellence in Research/Scholarly Activity/Creative Work include, but is not limited to</w:t>
      </w:r>
      <w:r>
        <w:rPr>
          <w:rFonts w:cs="Calibri"/>
        </w:rPr>
        <w:t>………………</w:t>
      </w:r>
      <w:r>
        <w:t xml:space="preserve">7 </w:t>
      </w:r>
    </w:p>
    <w:p w14:paraId="5DD8939C"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4.5         </w:t>
      </w:r>
      <w:r>
        <w:rPr>
          <w:rFonts w:cs="Calibri"/>
          <w:i/>
        </w:rPr>
        <w:t>Indicators of Effectiveness in Service includes, but is not limited to</w:t>
      </w:r>
      <w:r>
        <w:rPr>
          <w:rFonts w:cs="Calibri"/>
        </w:rPr>
        <w:t>……………………………………………………………….</w:t>
      </w:r>
      <w:r>
        <w:t xml:space="preserve">7 </w:t>
      </w:r>
    </w:p>
    <w:p w14:paraId="58A3A16F"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4.6         </w:t>
      </w:r>
      <w:r>
        <w:rPr>
          <w:rFonts w:cs="Calibri"/>
          <w:i/>
        </w:rPr>
        <w:t>Indicators of Excellence in Service includes, but is not limited to</w:t>
      </w:r>
      <w:r>
        <w:rPr>
          <w:rFonts w:cs="Calibri"/>
        </w:rPr>
        <w:t>……………………………………………………………………</w:t>
      </w:r>
      <w:r>
        <w:t xml:space="preserve">8 </w:t>
      </w:r>
    </w:p>
    <w:p w14:paraId="18751065" w14:textId="77777777" w:rsidR="005D1823" w:rsidRDefault="003C0EB9">
      <w:pPr>
        <w:tabs>
          <w:tab w:val="center" w:pos="800"/>
          <w:tab w:val="right" w:pos="11163"/>
        </w:tabs>
        <w:spacing w:after="0" w:line="266" w:lineRule="auto"/>
        <w:ind w:left="0" w:firstLine="0"/>
      </w:pPr>
      <w:r>
        <w:rPr>
          <w:rFonts w:cs="Calibri"/>
        </w:rPr>
        <w:tab/>
      </w:r>
      <w:r>
        <w:t xml:space="preserve">Section 5: </w:t>
      </w:r>
      <w:r>
        <w:tab/>
        <w:t>Annual Review</w:t>
      </w:r>
      <w:r>
        <w:rPr>
          <w:rFonts w:cs="Calibri"/>
        </w:rPr>
        <w:t>…………………………………………………………………………………………………………………………………………</w:t>
      </w:r>
      <w:r>
        <w:t xml:space="preserve">8 </w:t>
      </w:r>
    </w:p>
    <w:p w14:paraId="5E02A9D6"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5.1         </w:t>
      </w:r>
      <w:r>
        <w:rPr>
          <w:rFonts w:cs="Calibri"/>
          <w:i/>
        </w:rPr>
        <w:t>Purpose</w:t>
      </w:r>
      <w:r>
        <w:rPr>
          <w:rFonts w:cs="Calibri"/>
        </w:rPr>
        <w:t>…………………………………………………………………………………………………………………………………………………………</w:t>
      </w:r>
      <w:r>
        <w:t xml:space="preserve">8 </w:t>
      </w:r>
    </w:p>
    <w:p w14:paraId="273A6AF5"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5.2         </w:t>
      </w:r>
      <w:r>
        <w:rPr>
          <w:rFonts w:cs="Calibri"/>
          <w:i/>
        </w:rPr>
        <w:t>Time Period of Review</w:t>
      </w:r>
      <w:r>
        <w:rPr>
          <w:rFonts w:cs="Calibri"/>
        </w:rPr>
        <w:t>………………………………………………………………………………………………………………………………</w:t>
      </w:r>
      <w:proofErr w:type="gramStart"/>
      <w:r>
        <w:rPr>
          <w:rFonts w:cs="Calibri"/>
        </w:rPr>
        <w:t>…..</w:t>
      </w:r>
      <w:proofErr w:type="gramEnd"/>
      <w:r>
        <w:t xml:space="preserve">9 </w:t>
      </w:r>
    </w:p>
    <w:p w14:paraId="07260848"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5.3         </w:t>
      </w:r>
      <w:r>
        <w:rPr>
          <w:rFonts w:cs="Calibri"/>
          <w:i/>
        </w:rPr>
        <w:t>Ratings for Faculty Performance</w:t>
      </w:r>
      <w:r>
        <w:rPr>
          <w:rFonts w:cs="Calibri"/>
        </w:rPr>
        <w:t>……………………………………………………………………………………………………………………</w:t>
      </w:r>
      <w:r>
        <w:t xml:space="preserve">9 </w:t>
      </w:r>
    </w:p>
    <w:p w14:paraId="59186C60"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5.4         </w:t>
      </w:r>
      <w:r>
        <w:rPr>
          <w:rFonts w:cs="Calibri"/>
          <w:i/>
        </w:rPr>
        <w:t>Required Components for Annual Review</w:t>
      </w:r>
      <w:r>
        <w:rPr>
          <w:rFonts w:cs="Calibri"/>
        </w:rPr>
        <w:t>………………………………………………………………………………………………………</w:t>
      </w:r>
      <w:r>
        <w:t xml:space="preserve">9 </w:t>
      </w:r>
    </w:p>
    <w:p w14:paraId="19027DE3"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5.5         </w:t>
      </w:r>
      <w:r>
        <w:rPr>
          <w:rFonts w:cs="Calibri"/>
          <w:i/>
        </w:rPr>
        <w:t>Assessment outcomes that require action</w:t>
      </w:r>
      <w:r>
        <w:rPr>
          <w:rFonts w:cs="Calibri"/>
        </w:rPr>
        <w:t>…………………………………………………………………………………………………</w:t>
      </w:r>
      <w:proofErr w:type="gramStart"/>
      <w:r>
        <w:rPr>
          <w:rFonts w:cs="Calibri"/>
        </w:rPr>
        <w:t>…</w:t>
      </w:r>
      <w:r>
        <w:t>..</w:t>
      </w:r>
      <w:proofErr w:type="gramEnd"/>
      <w:r>
        <w:t xml:space="preserve">9 </w:t>
      </w:r>
    </w:p>
    <w:p w14:paraId="0FA42D3B"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5.6         </w:t>
      </w:r>
      <w:r>
        <w:rPr>
          <w:rFonts w:cs="Calibri"/>
          <w:i/>
        </w:rPr>
        <w:t>Timeline</w:t>
      </w:r>
      <w:r>
        <w:rPr>
          <w:rFonts w:cs="Calibri"/>
        </w:rPr>
        <w:t>………………………………………………………………………………………………………………………………………………………1</w:t>
      </w:r>
      <w:r>
        <w:t xml:space="preserve">2 </w:t>
      </w:r>
    </w:p>
    <w:p w14:paraId="2867FA04"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5.7         </w:t>
      </w:r>
      <w:r>
        <w:rPr>
          <w:rFonts w:cs="Calibri"/>
          <w:i/>
        </w:rPr>
        <w:t>Complaint procedure if annual review fails to follow published guidelines</w:t>
      </w:r>
      <w:r>
        <w:rPr>
          <w:rFonts w:cs="Calibri"/>
        </w:rPr>
        <w:t>……………………………………………</w:t>
      </w:r>
      <w:proofErr w:type="gramStart"/>
      <w:r>
        <w:rPr>
          <w:rFonts w:cs="Calibri"/>
        </w:rPr>
        <w:t>…..</w:t>
      </w:r>
      <w:proofErr w:type="gramEnd"/>
      <w:r>
        <w:rPr>
          <w:rFonts w:cs="Calibri"/>
        </w:rPr>
        <w:t>…</w:t>
      </w:r>
      <w:r>
        <w:t xml:space="preserve">12 </w:t>
      </w:r>
    </w:p>
    <w:p w14:paraId="37EF2D2B" w14:textId="77777777" w:rsidR="005D1823" w:rsidRDefault="003C0EB9">
      <w:pPr>
        <w:ind w:right="4"/>
      </w:pPr>
      <w:r>
        <w:t xml:space="preserve"> 5.8         </w:t>
      </w:r>
      <w:r>
        <w:rPr>
          <w:rFonts w:cs="Calibri"/>
          <w:i/>
        </w:rPr>
        <w:t>Evaluation Criteria for Academic Professional Track Faculty</w:t>
      </w:r>
      <w:r>
        <w:rPr>
          <w:rFonts w:cs="Calibri"/>
        </w:rPr>
        <w:t>…………………………………………………………………</w:t>
      </w:r>
      <w:proofErr w:type="gramStart"/>
      <w:r>
        <w:rPr>
          <w:rFonts w:cs="Calibri"/>
        </w:rPr>
        <w:t>…..</w:t>
      </w:r>
      <w:proofErr w:type="gramEnd"/>
      <w:r>
        <w:rPr>
          <w:rFonts w:cs="Calibri"/>
        </w:rPr>
        <w:t>…1</w:t>
      </w:r>
      <w:r>
        <w:t>2 Section 6: Department-Level Process for Promotion and Tenure Review</w:t>
      </w:r>
      <w:r>
        <w:rPr>
          <w:rFonts w:cs="Calibri"/>
        </w:rPr>
        <w:t>……………………………………………………………….1</w:t>
      </w:r>
      <w:r>
        <w:t xml:space="preserve">2 </w:t>
      </w:r>
    </w:p>
    <w:p w14:paraId="6DA4898F"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6.1         </w:t>
      </w:r>
      <w:r>
        <w:rPr>
          <w:rFonts w:cs="Calibri"/>
          <w:i/>
        </w:rPr>
        <w:t>Promotion and/or Tenure Processes</w:t>
      </w:r>
      <w:proofErr w:type="gramStart"/>
      <w:r>
        <w:rPr>
          <w:rFonts w:cs="Calibri"/>
          <w:i/>
        </w:rPr>
        <w:t>…..</w:t>
      </w:r>
      <w:proofErr w:type="gramEnd"/>
      <w:r>
        <w:rPr>
          <w:rFonts w:cs="Calibri"/>
        </w:rPr>
        <w:t>……………………………………………………………………………………………………….1</w:t>
      </w:r>
      <w:r>
        <w:t xml:space="preserve">2 </w:t>
      </w:r>
    </w:p>
    <w:p w14:paraId="5C3E22F7" w14:textId="77777777" w:rsidR="005D1823" w:rsidRDefault="003C0EB9">
      <w:pPr>
        <w:tabs>
          <w:tab w:val="center" w:pos="800"/>
          <w:tab w:val="right" w:pos="11163"/>
        </w:tabs>
        <w:spacing w:after="0" w:line="266" w:lineRule="auto"/>
        <w:ind w:left="0" w:firstLine="0"/>
      </w:pPr>
      <w:r>
        <w:rPr>
          <w:rFonts w:cs="Calibri"/>
        </w:rPr>
        <w:tab/>
      </w:r>
      <w:r>
        <w:t xml:space="preserve">Section 7: </w:t>
      </w:r>
      <w:r>
        <w:tab/>
        <w:t>Mid-Term Review</w:t>
      </w:r>
      <w:r>
        <w:rPr>
          <w:rFonts w:cs="Calibri"/>
        </w:rPr>
        <w:t>……………………………………………………………………….…………………………………………………………1</w:t>
      </w:r>
      <w:r>
        <w:t xml:space="preserve">4  </w:t>
      </w:r>
    </w:p>
    <w:p w14:paraId="56D04CD9"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7.1         </w:t>
      </w:r>
      <w:r>
        <w:rPr>
          <w:rFonts w:cs="Calibri"/>
          <w:i/>
        </w:rPr>
        <w:t>Purpose</w:t>
      </w:r>
      <w:r>
        <w:rPr>
          <w:rFonts w:cs="Calibri"/>
        </w:rPr>
        <w:t>….……………………</w:t>
      </w:r>
      <w:proofErr w:type="gramStart"/>
      <w:r>
        <w:rPr>
          <w:rFonts w:cs="Calibri"/>
        </w:rPr>
        <w:t>…..</w:t>
      </w:r>
      <w:proofErr w:type="gramEnd"/>
      <w:r>
        <w:rPr>
          <w:rFonts w:cs="Calibri"/>
        </w:rPr>
        <w:t>………………………………………………………………………………………………………………………...1</w:t>
      </w:r>
      <w:r>
        <w:t xml:space="preserve">4 </w:t>
      </w:r>
    </w:p>
    <w:p w14:paraId="102108FC" w14:textId="77777777" w:rsidR="005D1823" w:rsidRDefault="003C0EB9">
      <w:pPr>
        <w:spacing w:after="0" w:line="259" w:lineRule="auto"/>
        <w:ind w:left="10" w:right="17"/>
        <w:jc w:val="right"/>
      </w:pPr>
      <w:r>
        <w:t xml:space="preserve">7.2         </w:t>
      </w:r>
      <w:r>
        <w:rPr>
          <w:rFonts w:cs="Calibri"/>
          <w:i/>
        </w:rPr>
        <w:t>Process</w:t>
      </w:r>
      <w:r>
        <w:rPr>
          <w:rFonts w:cs="Calibri"/>
        </w:rPr>
        <w:t>…………………………………………………………………………………………………………………………………………………</w:t>
      </w:r>
      <w:proofErr w:type="gramStart"/>
      <w:r>
        <w:rPr>
          <w:rFonts w:cs="Calibri"/>
        </w:rPr>
        <w:t>…..</w:t>
      </w:r>
      <w:proofErr w:type="gramEnd"/>
      <w:r>
        <w:rPr>
          <w:rFonts w:cs="Calibri"/>
        </w:rPr>
        <w:t>…1</w:t>
      </w:r>
      <w:r>
        <w:t xml:space="preserve">4 </w:t>
      </w:r>
    </w:p>
    <w:p w14:paraId="5E627174" w14:textId="77777777" w:rsidR="005D1823" w:rsidRDefault="003C0EB9">
      <w:pPr>
        <w:spacing w:after="0" w:line="266" w:lineRule="auto"/>
        <w:ind w:left="356"/>
      </w:pPr>
      <w:r>
        <w:t xml:space="preserve"> </w:t>
      </w:r>
      <w:r>
        <w:tab/>
        <w:t xml:space="preserve">7.3         </w:t>
      </w:r>
      <w:r>
        <w:rPr>
          <w:rFonts w:cs="Calibri"/>
          <w:i/>
        </w:rPr>
        <w:t>Feedback from midterm</w:t>
      </w:r>
      <w:r>
        <w:rPr>
          <w:rFonts w:cs="Calibri"/>
        </w:rPr>
        <w:t>………….…………………………………………………………………………………………………………………..1</w:t>
      </w:r>
      <w:r>
        <w:t xml:space="preserve">4 Section 8: </w:t>
      </w:r>
      <w:r>
        <w:tab/>
        <w:t>Criteria for Promotion and Tenure</w:t>
      </w:r>
      <w:r>
        <w:rPr>
          <w:rFonts w:cs="Calibri"/>
        </w:rPr>
        <w:t>…………………………………………………………………………………………………………1</w:t>
      </w:r>
      <w:r>
        <w:t xml:space="preserve">5 </w:t>
      </w:r>
    </w:p>
    <w:p w14:paraId="01A75B0B" w14:textId="77777777" w:rsidR="005D1823" w:rsidRDefault="003C0EB9">
      <w:pPr>
        <w:tabs>
          <w:tab w:val="center" w:pos="361"/>
          <w:tab w:val="right" w:pos="11163"/>
        </w:tabs>
        <w:spacing w:after="5" w:line="250" w:lineRule="auto"/>
        <w:ind w:left="0" w:firstLine="0"/>
      </w:pPr>
      <w:r>
        <w:rPr>
          <w:rFonts w:cs="Calibri"/>
        </w:rPr>
        <w:tab/>
      </w:r>
      <w:r>
        <w:t xml:space="preserve"> </w:t>
      </w:r>
      <w:r>
        <w:tab/>
        <w:t xml:space="preserve">8.1         </w:t>
      </w:r>
      <w:r>
        <w:rPr>
          <w:rFonts w:cs="Calibri"/>
          <w:i/>
        </w:rPr>
        <w:t>Evaluation Criteria for Promotion and Tenure</w:t>
      </w:r>
      <w:r>
        <w:rPr>
          <w:rFonts w:cs="Calibri"/>
        </w:rPr>
        <w:t>…………………………………………………………………………………………</w:t>
      </w:r>
      <w:proofErr w:type="gramStart"/>
      <w:r>
        <w:rPr>
          <w:rFonts w:cs="Calibri"/>
        </w:rPr>
        <w:t>…..</w:t>
      </w:r>
      <w:proofErr w:type="gramEnd"/>
      <w:r>
        <w:rPr>
          <w:rFonts w:cs="Calibri"/>
        </w:rPr>
        <w:t>1</w:t>
      </w:r>
      <w:r>
        <w:t xml:space="preserve">5 </w:t>
      </w:r>
    </w:p>
    <w:p w14:paraId="0C5C57B1" w14:textId="77777777" w:rsidR="005D1823" w:rsidRDefault="003C0EB9">
      <w:pPr>
        <w:tabs>
          <w:tab w:val="center" w:pos="800"/>
          <w:tab w:val="right" w:pos="11163"/>
        </w:tabs>
        <w:spacing w:after="0" w:line="266" w:lineRule="auto"/>
        <w:ind w:left="0" w:firstLine="0"/>
      </w:pPr>
      <w:r>
        <w:rPr>
          <w:rFonts w:cs="Calibri"/>
        </w:rPr>
        <w:tab/>
      </w:r>
      <w:r>
        <w:t xml:space="preserve">Section 9: </w:t>
      </w:r>
      <w:r>
        <w:tab/>
        <w:t>Post-Tenure Review</w:t>
      </w:r>
      <w:r>
        <w:rPr>
          <w:rFonts w:cs="Calibri"/>
        </w:rPr>
        <w:t>…………………………………………………………………………………………………………………………….…1</w:t>
      </w:r>
      <w:r>
        <w:t xml:space="preserve">6 </w:t>
      </w:r>
    </w:p>
    <w:p w14:paraId="4D9CD899"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9.1         </w:t>
      </w:r>
      <w:r>
        <w:rPr>
          <w:rFonts w:cs="Calibri"/>
          <w:i/>
        </w:rPr>
        <w:t>Purpose</w:t>
      </w:r>
      <w:r>
        <w:rPr>
          <w:rFonts w:cs="Calibri"/>
        </w:rPr>
        <w:t>……………………………………………………………………………………………………………………………………………………….16</w:t>
      </w:r>
      <w:r>
        <w:t xml:space="preserve"> </w:t>
      </w:r>
    </w:p>
    <w:p w14:paraId="152E4CE0"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9.2         </w:t>
      </w:r>
      <w:r>
        <w:rPr>
          <w:rFonts w:cs="Calibri"/>
          <w:i/>
        </w:rPr>
        <w:t>Peer Review Committee</w:t>
      </w:r>
      <w:r>
        <w:rPr>
          <w:rFonts w:cs="Calibri"/>
        </w:rPr>
        <w:t>……………………………………………………………………………………………………………………………</w:t>
      </w:r>
      <w:r>
        <w:t xml:space="preserve">...16 </w:t>
      </w:r>
    </w:p>
    <w:p w14:paraId="2C47DCBB"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9.3         </w:t>
      </w:r>
      <w:r>
        <w:rPr>
          <w:rFonts w:cs="Calibri"/>
          <w:i/>
        </w:rPr>
        <w:t>Process for Periodic Peer Review</w:t>
      </w:r>
      <w:r>
        <w:rPr>
          <w:rFonts w:cs="Calibri"/>
        </w:rPr>
        <w:t>…………………………………………………………………………………………………………………</w:t>
      </w:r>
      <w:r>
        <w:t xml:space="preserve">16 </w:t>
      </w:r>
    </w:p>
    <w:p w14:paraId="5BEBC3FB"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9.4         </w:t>
      </w:r>
      <w:r>
        <w:rPr>
          <w:rFonts w:cs="Calibri"/>
          <w:i/>
        </w:rPr>
        <w:t>Professional Development Review</w:t>
      </w:r>
      <w:r>
        <w:rPr>
          <w:rFonts w:cs="Calibri"/>
        </w:rPr>
        <w:t>……………………………………………………………………………………………………………….</w:t>
      </w:r>
      <w:r>
        <w:t xml:space="preserve">17 </w:t>
      </w:r>
    </w:p>
    <w:p w14:paraId="7ECA4A0C" w14:textId="77777777" w:rsidR="005D1823" w:rsidRDefault="003C0EB9">
      <w:pPr>
        <w:tabs>
          <w:tab w:val="center" w:pos="361"/>
          <w:tab w:val="right" w:pos="11163"/>
        </w:tabs>
        <w:spacing w:after="0" w:line="266" w:lineRule="auto"/>
        <w:ind w:left="0" w:firstLine="0"/>
      </w:pPr>
      <w:r>
        <w:rPr>
          <w:rFonts w:cs="Calibri"/>
        </w:rPr>
        <w:tab/>
      </w:r>
      <w:r>
        <w:t xml:space="preserve"> </w:t>
      </w:r>
      <w:r>
        <w:tab/>
        <w:t xml:space="preserve">9.5         </w:t>
      </w:r>
      <w:r>
        <w:rPr>
          <w:rFonts w:cs="Calibri"/>
          <w:i/>
        </w:rPr>
        <w:t>Professional Development Plan</w:t>
      </w:r>
      <w:r>
        <w:rPr>
          <w:rFonts w:cs="Calibri"/>
        </w:rPr>
        <w:t>………………………………………………………………………………………………………………</w:t>
      </w:r>
      <w:proofErr w:type="gramStart"/>
      <w:r>
        <w:rPr>
          <w:rFonts w:cs="Calibri"/>
        </w:rPr>
        <w:t>…</w:t>
      </w:r>
      <w:r>
        <w:t>..</w:t>
      </w:r>
      <w:proofErr w:type="gramEnd"/>
      <w:r>
        <w:t xml:space="preserve">19 </w:t>
      </w:r>
    </w:p>
    <w:p w14:paraId="3187B4B5" w14:textId="77777777" w:rsidR="005D1823" w:rsidRDefault="003C0EB9">
      <w:pPr>
        <w:spacing w:after="5" w:line="250" w:lineRule="auto"/>
        <w:ind w:left="356"/>
      </w:pPr>
      <w:r>
        <w:t xml:space="preserve"> 9.6         </w:t>
      </w:r>
      <w:r>
        <w:rPr>
          <w:rFonts w:cs="Calibri"/>
          <w:i/>
        </w:rPr>
        <w:t>Appeal Process (Post-Tenure Review &amp; Professional Development Review)</w:t>
      </w:r>
      <w:r>
        <w:rPr>
          <w:rFonts w:cs="Calibri"/>
        </w:rPr>
        <w:t>………………………………………………</w:t>
      </w:r>
      <w:r>
        <w:t xml:space="preserve">...19  9.7         </w:t>
      </w:r>
      <w:r>
        <w:rPr>
          <w:rFonts w:cs="Calibri"/>
          <w:i/>
        </w:rPr>
        <w:t>Voluntary Post-Tenure Review</w:t>
      </w:r>
      <w:r>
        <w:rPr>
          <w:rFonts w:cs="Calibri"/>
        </w:rPr>
        <w:t>…………………………………………………………………………………………………………………</w:t>
      </w:r>
      <w:r>
        <w:t>.</w:t>
      </w:r>
      <w:r>
        <w:rPr>
          <w:rFonts w:cs="Calibri"/>
        </w:rPr>
        <w:t>…</w:t>
      </w:r>
      <w:r>
        <w:t xml:space="preserve">19 </w:t>
      </w:r>
    </w:p>
    <w:p w14:paraId="3E2C5174" w14:textId="77777777" w:rsidR="005D1823" w:rsidRDefault="003C0EB9">
      <w:pPr>
        <w:tabs>
          <w:tab w:val="center" w:pos="855"/>
          <w:tab w:val="right" w:pos="11163"/>
        </w:tabs>
        <w:spacing w:after="0" w:line="266" w:lineRule="auto"/>
        <w:ind w:left="0" w:firstLine="0"/>
      </w:pPr>
      <w:r>
        <w:rPr>
          <w:rFonts w:cs="Calibri"/>
        </w:rPr>
        <w:tab/>
      </w:r>
      <w:r>
        <w:t xml:space="preserve">Section 10: </w:t>
      </w:r>
      <w:r>
        <w:tab/>
        <w:t>Emeritus Status</w:t>
      </w:r>
      <w:r>
        <w:rPr>
          <w:rFonts w:cs="Calibri"/>
        </w:rPr>
        <w:t>…………………………………………………………………………………………………………………………………</w:t>
      </w:r>
      <w:proofErr w:type="gramStart"/>
      <w:r>
        <w:rPr>
          <w:rFonts w:cs="Calibri"/>
        </w:rPr>
        <w:t>…</w:t>
      </w:r>
      <w:r>
        <w:t>..</w:t>
      </w:r>
      <w:proofErr w:type="gramEnd"/>
      <w:r>
        <w:t xml:space="preserve">20  </w:t>
      </w:r>
    </w:p>
    <w:p w14:paraId="453DB6D7" w14:textId="77777777" w:rsidR="005D1823" w:rsidRDefault="003C0EB9">
      <w:pPr>
        <w:spacing w:after="0" w:line="259" w:lineRule="auto"/>
        <w:ind w:left="10" w:right="17"/>
        <w:jc w:val="right"/>
      </w:pPr>
      <w:r>
        <w:lastRenderedPageBreak/>
        <w:t>10.1</w:t>
      </w:r>
      <w:r>
        <w:rPr>
          <w:sz w:val="18"/>
        </w:rPr>
        <w:t xml:space="preserve">          </w:t>
      </w:r>
      <w:r>
        <w:rPr>
          <w:rFonts w:cs="Calibri"/>
          <w:i/>
        </w:rPr>
        <w:t>Granting Faculty Emeritus Status</w:t>
      </w:r>
      <w:r>
        <w:rPr>
          <w:rFonts w:cs="Calibri"/>
        </w:rPr>
        <w:t>……………………………………………………………………………………………………………….20</w:t>
      </w:r>
      <w:r>
        <w:t xml:space="preserve"> </w:t>
      </w:r>
    </w:p>
    <w:p w14:paraId="6B9C3EEE" w14:textId="77777777" w:rsidR="005D1823" w:rsidRDefault="003C0EB9">
      <w:pPr>
        <w:spacing w:after="40" w:line="259" w:lineRule="auto"/>
        <w:ind w:left="361" w:firstLine="0"/>
      </w:pPr>
      <w:r>
        <w:rPr>
          <w:rFonts w:ascii="Times New Roman" w:eastAsia="Times New Roman" w:hAnsi="Times New Roman"/>
          <w:sz w:val="20"/>
        </w:rPr>
        <w:t xml:space="preserve"> </w:t>
      </w:r>
    </w:p>
    <w:p w14:paraId="270A1312" w14:textId="7BD32767" w:rsidR="005D1823" w:rsidRDefault="003C0EB9" w:rsidP="00E67AB3">
      <w:pPr>
        <w:pStyle w:val="Heading1"/>
        <w:ind w:left="356"/>
      </w:pPr>
      <w:r w:rsidRPr="00E67AB3">
        <w:t xml:space="preserve"> </w:t>
      </w:r>
      <w:r>
        <w:t xml:space="preserve">Section 1: Introduction </w:t>
      </w:r>
    </w:p>
    <w:p w14:paraId="488A5555" w14:textId="77777777" w:rsidR="005D1823" w:rsidRDefault="003C0EB9">
      <w:pPr>
        <w:spacing w:after="208"/>
        <w:ind w:right="4"/>
      </w:pPr>
      <w:r>
        <w:t>The mission of the Department of Geology &amp; Geophysics in the College of Arts &amp; Sciences at Texas A&amp;M University is to be a destination-of-choice organization for innovative education and research</w:t>
      </w:r>
      <w:r>
        <w:rPr>
          <w:rFonts w:cs="Calibri"/>
          <w:b/>
        </w:rPr>
        <w:t xml:space="preserve">. </w:t>
      </w:r>
      <w:r>
        <w:t xml:space="preserve">Appropriate evaluation guidelines and reward mechanisms for faculty members are essential to support this mission.  This document is designed to provide a means to promote and thus retain faculty members whose excellence makes them beneficial members of the academy, while providing them with stability of employment. </w:t>
      </w:r>
    </w:p>
    <w:p w14:paraId="7DF875C4" w14:textId="77777777" w:rsidR="005D1823" w:rsidRDefault="003C0EB9">
      <w:pPr>
        <w:ind w:right="4"/>
      </w:pPr>
      <w:r>
        <w:t>The expectations of the Department of Geology &amp; Geophysics for its faculty are that they develop a scholarly and balanced approach among teaching, research, and service to achieve effectiveness and excellence in their field of endeavor.  The nature of scholarly innovation requires both flexibility and freedom, thus, the expectation of applying a single formula for evaluating performance is unattainable.  That is, it is neither desirable nor feasible to specify a rigid set of evaluation guidelines.  (</w:t>
      </w:r>
      <w:hyperlink r:id="rId7">
        <w:r>
          <w:rPr>
            <w:u w:val="single" w:color="000000"/>
          </w:rPr>
          <w:t>UR 12.01.99.M2, Section 4.4.2.2</w:t>
        </w:r>
      </w:hyperlink>
      <w:hyperlink r:id="rId8">
        <w:r>
          <w:t>)</w:t>
        </w:r>
      </w:hyperlink>
      <w:r>
        <w:t xml:space="preserve">  Therefore, this document provides a general set of guidelines and criteria congruent with the </w:t>
      </w:r>
      <w:hyperlink r:id="rId9">
        <w:r>
          <w:rPr>
            <w:u w:val="single" w:color="000000"/>
          </w:rPr>
          <w:t>mission of the University</w:t>
        </w:r>
      </w:hyperlink>
      <w:hyperlink r:id="rId10">
        <w:r>
          <w:t xml:space="preserve"> </w:t>
        </w:r>
      </w:hyperlink>
      <w:r>
        <w:t xml:space="preserve">and the Department of Geology &amp; Geophysics; and such guidelines and criteria are used as indicators of effectiveness and excellence.   </w:t>
      </w:r>
    </w:p>
    <w:p w14:paraId="3FCAE2E1" w14:textId="77777777" w:rsidR="005D1823" w:rsidRDefault="003C0EB9">
      <w:pPr>
        <w:spacing w:after="0" w:line="259" w:lineRule="auto"/>
        <w:ind w:left="361" w:firstLine="0"/>
      </w:pPr>
      <w:r>
        <w:t xml:space="preserve"> </w:t>
      </w:r>
    </w:p>
    <w:p w14:paraId="656EA32F" w14:textId="77777777" w:rsidR="005D1823" w:rsidRDefault="003C0EB9">
      <w:pPr>
        <w:spacing w:after="112"/>
        <w:ind w:right="4"/>
      </w:pPr>
      <w:r>
        <w:t xml:space="preserve">This document articulates the Department of Geology and Geophysics guidelines for faculty annual review, tenure and promotion, promotion, and post-tenure review, consistent with the requirements and guidelines found in the following University documents:    </w:t>
      </w:r>
    </w:p>
    <w:p w14:paraId="60772CEC" w14:textId="77777777" w:rsidR="005D1823" w:rsidRDefault="003C0EB9">
      <w:pPr>
        <w:spacing w:after="0" w:line="259" w:lineRule="auto"/>
        <w:ind w:left="361" w:firstLine="0"/>
      </w:pPr>
      <w:r>
        <w:rPr>
          <w:rFonts w:ascii="Times New Roman" w:eastAsia="Times New Roman" w:hAnsi="Times New Roman"/>
        </w:rPr>
        <w:t xml:space="preserve"> </w:t>
      </w:r>
      <w:r>
        <w:rPr>
          <w:rFonts w:ascii="Times New Roman" w:eastAsia="Times New Roman" w:hAnsi="Times New Roman"/>
        </w:rPr>
        <w:tab/>
        <w:t xml:space="preserve"> </w:t>
      </w:r>
    </w:p>
    <w:tbl>
      <w:tblPr>
        <w:tblStyle w:val="TableGrid"/>
        <w:tblW w:w="10440" w:type="dxa"/>
        <w:tblInd w:w="721" w:type="dxa"/>
        <w:tblCellMar>
          <w:top w:w="59" w:type="dxa"/>
          <w:left w:w="110" w:type="dxa"/>
          <w:right w:w="105" w:type="dxa"/>
        </w:tblCellMar>
        <w:tblLook w:val="04A0" w:firstRow="1" w:lastRow="0" w:firstColumn="1" w:lastColumn="0" w:noHBand="0" w:noVBand="1"/>
      </w:tblPr>
      <w:tblGrid>
        <w:gridCol w:w="3299"/>
        <w:gridCol w:w="7141"/>
      </w:tblGrid>
      <w:tr w:rsidR="005D1823" w14:paraId="2CD8B533" w14:textId="77777777">
        <w:trPr>
          <w:trHeight w:val="275"/>
        </w:trPr>
        <w:tc>
          <w:tcPr>
            <w:tcW w:w="5217" w:type="dxa"/>
            <w:tcBorders>
              <w:top w:val="nil"/>
              <w:left w:val="nil"/>
              <w:bottom w:val="nil"/>
              <w:right w:val="nil"/>
            </w:tcBorders>
            <w:shd w:val="clear" w:color="auto" w:fill="000000"/>
          </w:tcPr>
          <w:p w14:paraId="57033452" w14:textId="77777777" w:rsidR="005D1823" w:rsidRPr="009D5B3E" w:rsidRDefault="003C0EB9">
            <w:pPr>
              <w:spacing w:after="0" w:line="259" w:lineRule="auto"/>
              <w:ind w:left="0" w:firstLine="0"/>
              <w:rPr>
                <w:color w:val="auto"/>
              </w:rPr>
            </w:pPr>
            <w:r w:rsidRPr="009D5B3E">
              <w:rPr>
                <w:rFonts w:ascii="Times New Roman" w:eastAsia="Times New Roman" w:hAnsi="Times New Roman"/>
                <w:b/>
                <w:color w:val="auto"/>
              </w:rPr>
              <w:t xml:space="preserve">TITLE </w:t>
            </w:r>
          </w:p>
        </w:tc>
        <w:tc>
          <w:tcPr>
            <w:tcW w:w="5223" w:type="dxa"/>
            <w:tcBorders>
              <w:top w:val="nil"/>
              <w:left w:val="nil"/>
              <w:bottom w:val="nil"/>
              <w:right w:val="nil"/>
            </w:tcBorders>
            <w:shd w:val="clear" w:color="auto" w:fill="000000"/>
          </w:tcPr>
          <w:p w14:paraId="30FB1EC8" w14:textId="77777777" w:rsidR="005D1823" w:rsidRPr="009D5B3E" w:rsidRDefault="003C0EB9">
            <w:pPr>
              <w:spacing w:after="0" w:line="259" w:lineRule="auto"/>
              <w:ind w:left="0" w:firstLine="0"/>
              <w:rPr>
                <w:color w:val="auto"/>
              </w:rPr>
            </w:pPr>
            <w:r w:rsidRPr="009D5B3E">
              <w:rPr>
                <w:rFonts w:ascii="Times New Roman" w:eastAsia="Times New Roman" w:hAnsi="Times New Roman"/>
                <w:b/>
                <w:color w:val="auto"/>
              </w:rPr>
              <w:t xml:space="preserve">LINK </w:t>
            </w:r>
          </w:p>
        </w:tc>
      </w:tr>
      <w:tr w:rsidR="005D1823" w14:paraId="7A1B4528" w14:textId="77777777">
        <w:trPr>
          <w:trHeight w:val="564"/>
        </w:trPr>
        <w:tc>
          <w:tcPr>
            <w:tcW w:w="5217" w:type="dxa"/>
            <w:tcBorders>
              <w:top w:val="nil"/>
              <w:left w:val="single" w:sz="4" w:space="0" w:color="666666"/>
              <w:bottom w:val="single" w:sz="4" w:space="0" w:color="666666"/>
              <w:right w:val="single" w:sz="4" w:space="0" w:color="666666"/>
            </w:tcBorders>
            <w:shd w:val="clear" w:color="auto" w:fill="CCCCCC"/>
            <w:vAlign w:val="center"/>
          </w:tcPr>
          <w:p w14:paraId="10AC3781" w14:textId="77777777" w:rsidR="005D1823" w:rsidRDefault="003C0EB9">
            <w:pPr>
              <w:spacing w:after="0" w:line="259" w:lineRule="auto"/>
              <w:ind w:left="0" w:firstLine="0"/>
            </w:pPr>
            <w:r>
              <w:rPr>
                <w:b/>
              </w:rPr>
              <w:t xml:space="preserve">12.01.01- Institutional Rules for Implementing Tenure </w:t>
            </w:r>
          </w:p>
        </w:tc>
        <w:tc>
          <w:tcPr>
            <w:tcW w:w="5223" w:type="dxa"/>
            <w:tcBorders>
              <w:top w:val="nil"/>
              <w:left w:val="single" w:sz="4" w:space="0" w:color="666666"/>
              <w:bottom w:val="single" w:sz="4" w:space="0" w:color="666666"/>
              <w:right w:val="single" w:sz="4" w:space="0" w:color="666666"/>
            </w:tcBorders>
            <w:shd w:val="clear" w:color="auto" w:fill="CCCCCC"/>
            <w:vAlign w:val="center"/>
          </w:tcPr>
          <w:p w14:paraId="39D9F866" w14:textId="77777777" w:rsidR="005D1823" w:rsidRDefault="003C0EB9">
            <w:pPr>
              <w:spacing w:after="0" w:line="259" w:lineRule="auto"/>
              <w:ind w:left="0" w:firstLine="0"/>
            </w:pPr>
            <w:hyperlink r:id="rId11">
              <w:r>
                <w:rPr>
                  <w:u w:val="single" w:color="000000"/>
                </w:rPr>
                <w:t>http://policies.tamus.edu/12</w:t>
              </w:r>
            </w:hyperlink>
            <w:hyperlink r:id="rId12">
              <w:r>
                <w:rPr>
                  <w:u w:val="single" w:color="000000"/>
                </w:rPr>
                <w:t>-</w:t>
              </w:r>
            </w:hyperlink>
            <w:hyperlink r:id="rId13">
              <w:r>
                <w:rPr>
                  <w:u w:val="single" w:color="000000"/>
                </w:rPr>
                <w:t>01</w:t>
              </w:r>
            </w:hyperlink>
            <w:hyperlink r:id="rId14">
              <w:r>
                <w:rPr>
                  <w:u w:val="single" w:color="000000"/>
                </w:rPr>
                <w:t>-</w:t>
              </w:r>
            </w:hyperlink>
            <w:hyperlink r:id="rId15">
              <w:r>
                <w:rPr>
                  <w:u w:val="single" w:color="000000"/>
                </w:rPr>
                <w:t>01.pd</w:t>
              </w:r>
            </w:hyperlink>
            <w:hyperlink r:id="rId16">
              <w:r>
                <w:rPr>
                  <w:u w:val="single" w:color="000000"/>
                </w:rPr>
                <w:t>fs</w:t>
              </w:r>
            </w:hyperlink>
            <w:hyperlink r:id="rId17">
              <w:r>
                <w:t xml:space="preserve"> </w:t>
              </w:r>
            </w:hyperlink>
          </w:p>
        </w:tc>
      </w:tr>
      <w:tr w:rsidR="005D1823" w14:paraId="095115BA" w14:textId="77777777">
        <w:trPr>
          <w:trHeight w:val="573"/>
        </w:trPr>
        <w:tc>
          <w:tcPr>
            <w:tcW w:w="5217" w:type="dxa"/>
            <w:tcBorders>
              <w:top w:val="single" w:sz="4" w:space="0" w:color="666666"/>
              <w:left w:val="single" w:sz="4" w:space="0" w:color="666666"/>
              <w:bottom w:val="single" w:sz="4" w:space="0" w:color="666666"/>
              <w:right w:val="single" w:sz="4" w:space="0" w:color="666666"/>
            </w:tcBorders>
            <w:vAlign w:val="center"/>
          </w:tcPr>
          <w:p w14:paraId="03390326" w14:textId="77777777" w:rsidR="005D1823" w:rsidRDefault="003C0EB9">
            <w:pPr>
              <w:spacing w:after="0" w:line="259" w:lineRule="auto"/>
              <w:ind w:left="0" w:firstLine="0"/>
            </w:pPr>
            <w:r>
              <w:rPr>
                <w:b/>
              </w:rPr>
              <w:t xml:space="preserve">12.01 - Academic Freedom, Responsibility and Tenure  </w:t>
            </w:r>
          </w:p>
        </w:tc>
        <w:tc>
          <w:tcPr>
            <w:tcW w:w="5223" w:type="dxa"/>
            <w:tcBorders>
              <w:top w:val="single" w:sz="4" w:space="0" w:color="666666"/>
              <w:left w:val="single" w:sz="4" w:space="0" w:color="666666"/>
              <w:bottom w:val="single" w:sz="4" w:space="0" w:color="666666"/>
              <w:right w:val="single" w:sz="4" w:space="0" w:color="666666"/>
            </w:tcBorders>
            <w:vAlign w:val="center"/>
          </w:tcPr>
          <w:p w14:paraId="3D3A86C5" w14:textId="77777777" w:rsidR="005D1823" w:rsidRDefault="003C0EB9">
            <w:pPr>
              <w:spacing w:after="0" w:line="259" w:lineRule="auto"/>
              <w:ind w:left="0" w:firstLine="0"/>
            </w:pPr>
            <w:r>
              <w:rPr>
                <w:u w:val="single" w:color="000000"/>
              </w:rPr>
              <w:t>https://rules-saps.tamu.edu/PDFs/12.01.99.M1.pdf</w:t>
            </w:r>
            <w:r>
              <w:t xml:space="preserve"> </w:t>
            </w:r>
          </w:p>
        </w:tc>
      </w:tr>
      <w:tr w:rsidR="005D1823" w14:paraId="707B8192" w14:textId="77777777">
        <w:trPr>
          <w:trHeight w:val="568"/>
        </w:trPr>
        <w:tc>
          <w:tcPr>
            <w:tcW w:w="5217" w:type="dxa"/>
            <w:tcBorders>
              <w:top w:val="single" w:sz="4" w:space="0" w:color="666666"/>
              <w:left w:val="single" w:sz="4" w:space="0" w:color="666666"/>
              <w:bottom w:val="single" w:sz="4" w:space="0" w:color="666666"/>
              <w:right w:val="single" w:sz="4" w:space="0" w:color="666666"/>
            </w:tcBorders>
            <w:shd w:val="clear" w:color="auto" w:fill="CCCCCC"/>
            <w:vAlign w:val="center"/>
          </w:tcPr>
          <w:p w14:paraId="06BB491B" w14:textId="77777777" w:rsidR="005D1823" w:rsidRDefault="003C0EB9">
            <w:pPr>
              <w:spacing w:after="0" w:line="259" w:lineRule="auto"/>
              <w:ind w:left="0" w:firstLine="0"/>
            </w:pPr>
            <w:r>
              <w:rPr>
                <w:b/>
              </w:rPr>
              <w:t xml:space="preserve">12.06.99.M0.01 - Post-Tenure Review </w:t>
            </w:r>
          </w:p>
        </w:tc>
        <w:tc>
          <w:tcPr>
            <w:tcW w:w="5223" w:type="dxa"/>
            <w:tcBorders>
              <w:top w:val="single" w:sz="4" w:space="0" w:color="666666"/>
              <w:left w:val="single" w:sz="4" w:space="0" w:color="666666"/>
              <w:bottom w:val="single" w:sz="4" w:space="0" w:color="666666"/>
              <w:right w:val="single" w:sz="4" w:space="0" w:color="666666"/>
            </w:tcBorders>
            <w:shd w:val="clear" w:color="auto" w:fill="CCCCCC"/>
            <w:vAlign w:val="center"/>
          </w:tcPr>
          <w:p w14:paraId="59F03DB0" w14:textId="5CAD735A" w:rsidR="005D1823" w:rsidRDefault="00A27FE6">
            <w:pPr>
              <w:spacing w:after="0" w:line="259" w:lineRule="auto"/>
              <w:ind w:left="0" w:firstLine="0"/>
            </w:pPr>
            <w:r w:rsidRPr="00F373CC">
              <w:rPr>
                <w:u w:val="single" w:color="000000"/>
              </w:rPr>
              <w:t>https://rules-saps.tamu.edu/PDFs/12.06.99.M1.pdf</w:t>
            </w:r>
          </w:p>
        </w:tc>
      </w:tr>
      <w:tr w:rsidR="005D1823" w14:paraId="774E44B1" w14:textId="77777777">
        <w:trPr>
          <w:trHeight w:val="573"/>
        </w:trPr>
        <w:tc>
          <w:tcPr>
            <w:tcW w:w="5217" w:type="dxa"/>
            <w:tcBorders>
              <w:top w:val="single" w:sz="4" w:space="0" w:color="666666"/>
              <w:left w:val="single" w:sz="4" w:space="0" w:color="666666"/>
              <w:bottom w:val="single" w:sz="4" w:space="0" w:color="666666"/>
              <w:right w:val="single" w:sz="4" w:space="0" w:color="666666"/>
            </w:tcBorders>
          </w:tcPr>
          <w:p w14:paraId="4D26A8D0" w14:textId="77777777" w:rsidR="005D1823" w:rsidRDefault="003C0EB9">
            <w:pPr>
              <w:spacing w:after="0" w:line="259" w:lineRule="auto"/>
              <w:ind w:left="0" w:firstLine="0"/>
            </w:pPr>
            <w:r>
              <w:rPr>
                <w:b/>
              </w:rPr>
              <w:t xml:space="preserve">College of Arts and Sciences Guidelines for Faculty Evaluation </w:t>
            </w:r>
          </w:p>
        </w:tc>
        <w:tc>
          <w:tcPr>
            <w:tcW w:w="5223" w:type="dxa"/>
            <w:tcBorders>
              <w:top w:val="single" w:sz="4" w:space="0" w:color="666666"/>
              <w:left w:val="single" w:sz="4" w:space="0" w:color="666666"/>
              <w:bottom w:val="single" w:sz="4" w:space="0" w:color="666666"/>
              <w:right w:val="single" w:sz="4" w:space="0" w:color="666666"/>
            </w:tcBorders>
          </w:tcPr>
          <w:p w14:paraId="5F270741" w14:textId="6A2EC8AD" w:rsidR="005D1823" w:rsidRDefault="006E7AD0">
            <w:pPr>
              <w:spacing w:after="0" w:line="259" w:lineRule="auto"/>
              <w:ind w:left="0" w:firstLine="0"/>
            </w:pPr>
            <w:r w:rsidRPr="006E7AD0">
              <w:rPr>
                <w:u w:val="single" w:color="000000"/>
              </w:rPr>
              <w:t>https://tamucs.sharepoint.com/:u:/r/teams/MyArtSci2/SitePages/Guidelines-Processes-Faculty-Affairs.aspx?csf=1&amp;web=1&amp;e=LCrChs</w:t>
            </w:r>
          </w:p>
        </w:tc>
      </w:tr>
      <w:tr w:rsidR="005D1823" w14:paraId="6E789466" w14:textId="77777777">
        <w:trPr>
          <w:trHeight w:val="568"/>
        </w:trPr>
        <w:tc>
          <w:tcPr>
            <w:tcW w:w="5217" w:type="dxa"/>
            <w:tcBorders>
              <w:top w:val="single" w:sz="4" w:space="0" w:color="666666"/>
              <w:left w:val="single" w:sz="4" w:space="0" w:color="666666"/>
              <w:bottom w:val="single" w:sz="4" w:space="0" w:color="666666"/>
              <w:right w:val="single" w:sz="4" w:space="0" w:color="666666"/>
            </w:tcBorders>
            <w:shd w:val="clear" w:color="auto" w:fill="CCCCCC"/>
          </w:tcPr>
          <w:p w14:paraId="10AE32B7" w14:textId="77777777" w:rsidR="005D1823" w:rsidRDefault="003C0EB9">
            <w:pPr>
              <w:spacing w:after="0" w:line="259" w:lineRule="auto"/>
              <w:ind w:left="0" w:firstLine="0"/>
              <w:jc w:val="both"/>
            </w:pPr>
            <w:r>
              <w:rPr>
                <w:b/>
              </w:rPr>
              <w:t xml:space="preserve">University Promotion and Tenure Guidelines (published annually) </w:t>
            </w:r>
          </w:p>
        </w:tc>
        <w:tc>
          <w:tcPr>
            <w:tcW w:w="5223" w:type="dxa"/>
            <w:tcBorders>
              <w:top w:val="single" w:sz="4" w:space="0" w:color="666666"/>
              <w:left w:val="single" w:sz="4" w:space="0" w:color="666666"/>
              <w:bottom w:val="single" w:sz="4" w:space="0" w:color="666666"/>
              <w:right w:val="single" w:sz="4" w:space="0" w:color="666666"/>
            </w:tcBorders>
            <w:shd w:val="clear" w:color="auto" w:fill="CCCCCC"/>
          </w:tcPr>
          <w:p w14:paraId="05DC4610" w14:textId="77777777" w:rsidR="005D1823" w:rsidRDefault="003C0EB9">
            <w:pPr>
              <w:spacing w:after="0" w:line="259" w:lineRule="auto"/>
              <w:ind w:left="0" w:firstLine="0"/>
            </w:pPr>
            <w:r>
              <w:t xml:space="preserve">https://facultyaffairs.tamu.edu/evaluationdevelopment/promotion-tenure.html </w:t>
            </w:r>
          </w:p>
        </w:tc>
      </w:tr>
    </w:tbl>
    <w:p w14:paraId="22E1FCED" w14:textId="77777777" w:rsidR="005D1823" w:rsidRDefault="003C0EB9">
      <w:pPr>
        <w:spacing w:after="0" w:line="259" w:lineRule="auto"/>
        <w:ind w:left="361" w:firstLine="0"/>
      </w:pPr>
      <w:r>
        <w:t xml:space="preserve"> </w:t>
      </w:r>
    </w:p>
    <w:p w14:paraId="52B0CAEA" w14:textId="77777777" w:rsidR="005D1823" w:rsidRDefault="003C0EB9">
      <w:pPr>
        <w:ind w:right="4"/>
      </w:pPr>
      <w:r>
        <w:t xml:space="preserve">In the event of inadvertent discrepancies between this document and Texas A&amp;M University or Texas A&amp;M University System policies, rules, and procedures, the University or System statements take precedence. </w:t>
      </w:r>
    </w:p>
    <w:p w14:paraId="63656366" w14:textId="77777777" w:rsidR="005D1823" w:rsidRDefault="003C0EB9">
      <w:pPr>
        <w:spacing w:after="0" w:line="259" w:lineRule="auto"/>
        <w:ind w:left="361" w:firstLine="0"/>
      </w:pPr>
      <w:r>
        <w:t xml:space="preserve"> </w:t>
      </w:r>
    </w:p>
    <w:p w14:paraId="43A32B94" w14:textId="77777777" w:rsidR="005D1823" w:rsidRDefault="003C0EB9">
      <w:pPr>
        <w:spacing w:after="315" w:line="259" w:lineRule="auto"/>
        <w:ind w:left="361" w:firstLine="0"/>
      </w:pPr>
      <w:r>
        <w:rPr>
          <w:rFonts w:ascii="Times New Roman" w:eastAsia="Times New Roman" w:hAnsi="Times New Roman"/>
        </w:rPr>
        <w:t xml:space="preserve"> </w:t>
      </w:r>
    </w:p>
    <w:p w14:paraId="4EC690DF" w14:textId="6E9BA3E9" w:rsidR="005D1823" w:rsidRDefault="003C0EB9" w:rsidP="00E67AB3">
      <w:pPr>
        <w:pStyle w:val="Heading1"/>
        <w:ind w:left="356"/>
      </w:pPr>
      <w:r>
        <w:t xml:space="preserve">Section 2: Faculty Tracks and Ranks  </w:t>
      </w:r>
    </w:p>
    <w:p w14:paraId="32B094ED" w14:textId="77777777" w:rsidR="005D1823" w:rsidRDefault="003C0EB9">
      <w:pPr>
        <w:pStyle w:val="Heading2"/>
        <w:ind w:left="356"/>
      </w:pPr>
      <w:r>
        <w:t>2.1</w:t>
      </w:r>
      <w:r>
        <w:rPr>
          <w:rFonts w:ascii="Arial" w:eastAsia="Arial" w:hAnsi="Arial" w:cs="Arial"/>
        </w:rPr>
        <w:t xml:space="preserve"> </w:t>
      </w:r>
      <w:r>
        <w:t xml:space="preserve">Faculty Tracks and Ranks </w:t>
      </w:r>
    </w:p>
    <w:p w14:paraId="3B4E20BD" w14:textId="77777777" w:rsidR="005D1823" w:rsidRDefault="003C0EB9">
      <w:pPr>
        <w:ind w:left="931" w:right="4"/>
      </w:pPr>
      <w:r>
        <w:t xml:space="preserve">Definition of faculty ranks and tracks can be found at </w:t>
      </w:r>
      <w:hyperlink r:id="rId18">
        <w:r>
          <w:rPr>
            <w:u w:val="single" w:color="000000"/>
          </w:rPr>
          <w:t>University Rule 12.01.99.M2</w:t>
        </w:r>
      </w:hyperlink>
      <w:hyperlink r:id="rId19">
        <w:r>
          <w:t xml:space="preserve"> </w:t>
        </w:r>
      </w:hyperlink>
      <w:r>
        <w:t xml:space="preserve">and </w:t>
      </w:r>
      <w:hyperlink r:id="rId20" w:anchor=":~:text=All%20faculty%20members%20must%20meet,teach%20and%20significant%20teaching%20experience">
        <w:r>
          <w:rPr>
            <w:u w:val="single" w:color="000000"/>
          </w:rPr>
          <w:t>University Guidelines to</w:t>
        </w:r>
      </w:hyperlink>
      <w:hyperlink r:id="rId21" w:anchor=":~:text=All%20faculty%20members%20must%20meet,teach%20and%20significant%20teaching%20experience">
        <w:r>
          <w:t xml:space="preserve"> </w:t>
        </w:r>
      </w:hyperlink>
      <w:hyperlink r:id="rId22" w:anchor=":~:text=All%20faculty%20members%20must%20meet,teach%20and%20significant%20teaching%20experience">
        <w:r>
          <w:rPr>
            <w:u w:val="single" w:color="000000"/>
          </w:rPr>
          <w:t>Faculty titles</w:t>
        </w:r>
      </w:hyperlink>
      <w:hyperlink r:id="rId23" w:anchor=":~:text=All%20faculty%20members%20must%20meet,teach%20and%20significant%20teaching%20experience">
        <w:r>
          <w:t>.</w:t>
        </w:r>
      </w:hyperlink>
      <w:r>
        <w:t xml:space="preserve"> Professor, Associate Professor, and Assistant Professor are appointment titles of either tenured or </w:t>
      </w:r>
    </w:p>
    <w:p w14:paraId="3F4AC7EE" w14:textId="77777777" w:rsidR="005D1823" w:rsidRDefault="003C0EB9">
      <w:pPr>
        <w:ind w:left="931" w:right="4"/>
      </w:pPr>
      <w:r>
        <w:lastRenderedPageBreak/>
        <w:t xml:space="preserve">tenure-track faculty members.  Academic Professional Track (APT) appointments are non-tenure track appointments that normally have a primary responsibility for a single </w:t>
      </w:r>
      <w:proofErr w:type="gramStart"/>
      <w:r>
        <w:t>area, but</w:t>
      </w:r>
      <w:proofErr w:type="gramEnd"/>
      <w:r>
        <w:t xml:space="preserve"> may also be expected to contribute </w:t>
      </w:r>
      <w:proofErr w:type="gramStart"/>
      <w:r>
        <w:t>in</w:t>
      </w:r>
      <w:proofErr w:type="gramEnd"/>
      <w:r>
        <w:t xml:space="preserve"> one or more of the other areas.  Expected contributions shall be outlined in the annual appointment letter for each individual.  </w:t>
      </w:r>
    </w:p>
    <w:p w14:paraId="32E4C410" w14:textId="77777777" w:rsidR="005D1823" w:rsidRDefault="003C0EB9">
      <w:pPr>
        <w:spacing w:after="15" w:line="259" w:lineRule="auto"/>
        <w:ind w:left="721" w:firstLine="0"/>
      </w:pPr>
      <w:r>
        <w:t xml:space="preserve"> </w:t>
      </w:r>
    </w:p>
    <w:p w14:paraId="0D42620C" w14:textId="77777777" w:rsidR="005D1823" w:rsidRDefault="003C0EB9">
      <w:pPr>
        <w:ind w:left="931" w:right="4"/>
      </w:pPr>
      <w:r>
        <w:t xml:space="preserve">APT appointments include: </w:t>
      </w:r>
    </w:p>
    <w:p w14:paraId="46B81DBB" w14:textId="77777777" w:rsidR="005D1823" w:rsidRDefault="003C0EB9">
      <w:pPr>
        <w:numPr>
          <w:ilvl w:val="0"/>
          <w:numId w:val="1"/>
        </w:numPr>
        <w:ind w:hanging="270"/>
      </w:pPr>
      <w:r>
        <w:rPr>
          <w:rFonts w:cs="Calibri"/>
          <w:b/>
        </w:rPr>
        <w:t xml:space="preserve">Professor of the Practice, Associate Professor of the Practice, Assistant Professor of the Practice </w:t>
      </w:r>
      <w:r>
        <w:t xml:space="preserve">Faculty in these appointments will make significant contributions to education in an area where they have substantial professional credentials or experience. At the Assistant level, professors of practice will typically have practiced in their industry for a minimum of three years; they must have attained a record of significant accomplishments during their time in </w:t>
      </w:r>
      <w:proofErr w:type="gramStart"/>
      <w:r>
        <w:t>industry, or</w:t>
      </w:r>
      <w:proofErr w:type="gramEnd"/>
      <w:r>
        <w:t xml:space="preserve"> maintain a license or certification that qualifies them as a professional in their field.  </w:t>
      </w:r>
    </w:p>
    <w:p w14:paraId="205971B1" w14:textId="77777777" w:rsidR="005D1823" w:rsidRDefault="003C0EB9">
      <w:pPr>
        <w:spacing w:after="15" w:line="259" w:lineRule="auto"/>
        <w:ind w:left="1081" w:firstLine="0"/>
      </w:pPr>
      <w:r>
        <w:t xml:space="preserve"> </w:t>
      </w:r>
    </w:p>
    <w:p w14:paraId="226B5637" w14:textId="77777777" w:rsidR="005D1823" w:rsidRDefault="003C0EB9">
      <w:pPr>
        <w:ind w:left="1091" w:right="4"/>
      </w:pPr>
      <w:r>
        <w:t xml:space="preserve">In the Department of Geology and Geophysics, Assistant/Associate/Professors of Practice serve primarily to mentor graduate students in industry related research and, as such, their primary responsibilities include advising graduate students, obtaining funding to support students and student research, mentoring students towards publications in peer-reviewed journals, and teaching graduate classes, as appropriate to mentor students.  The teaching load for these faculty in the Department of Geology &amp; Geophysics is typically two courses per semester but may vary depending on other duties assigned.   </w:t>
      </w:r>
    </w:p>
    <w:p w14:paraId="0AD73754" w14:textId="77777777" w:rsidR="005D1823" w:rsidRDefault="003C0EB9">
      <w:pPr>
        <w:spacing w:after="64" w:line="259" w:lineRule="auto"/>
        <w:ind w:left="1081" w:firstLine="0"/>
      </w:pPr>
      <w:r>
        <w:t xml:space="preserve"> </w:t>
      </w:r>
    </w:p>
    <w:p w14:paraId="7D723F98" w14:textId="77777777" w:rsidR="005D1823" w:rsidRDefault="003C0EB9">
      <w:pPr>
        <w:numPr>
          <w:ilvl w:val="0"/>
          <w:numId w:val="1"/>
        </w:numPr>
        <w:spacing w:after="3" w:line="259" w:lineRule="auto"/>
        <w:ind w:hanging="270"/>
      </w:pPr>
      <w:r>
        <w:rPr>
          <w:rFonts w:cs="Calibri"/>
          <w:b/>
        </w:rPr>
        <w:t xml:space="preserve">Research Professor, Research Associate Professor, Research Assistant Professor  </w:t>
      </w:r>
    </w:p>
    <w:p w14:paraId="1D30762E" w14:textId="3275036A" w:rsidR="005D1823" w:rsidRDefault="003C0EB9" w:rsidP="0010753D">
      <w:pPr>
        <w:ind w:left="1091" w:right="4"/>
      </w:pPr>
      <w:r>
        <w:t xml:space="preserve">Faculty in these appointments will make significant contributions to scholarly research and their appointment is often associated with substantial research funding or work on a particular project.  Research faculty can also be assigned to teaching or service activity.  Typically, these activities will be central to research activity and involvement of students in research and requires approval by the Vice President for Research.  If instruction is more than 50% of assigned duties, it is likely that a reclassification to an instructional track is needed.  Research faculty members will primarily be evaluated on research activity, and teaching/service activity in the context of their research expertise.    </w:t>
      </w:r>
    </w:p>
    <w:p w14:paraId="70B18AE3" w14:textId="0EC96405" w:rsidR="005D1823" w:rsidRDefault="005D1823">
      <w:pPr>
        <w:spacing w:after="59" w:line="259" w:lineRule="auto"/>
        <w:ind w:left="1081" w:firstLine="0"/>
      </w:pPr>
    </w:p>
    <w:p w14:paraId="662A19ED" w14:textId="77777777" w:rsidR="005D1823" w:rsidRDefault="003C0EB9">
      <w:pPr>
        <w:numPr>
          <w:ilvl w:val="0"/>
          <w:numId w:val="1"/>
        </w:numPr>
        <w:spacing w:after="3" w:line="259" w:lineRule="auto"/>
        <w:ind w:hanging="270"/>
      </w:pPr>
      <w:r>
        <w:rPr>
          <w:rFonts w:cs="Calibri"/>
          <w:b/>
        </w:rPr>
        <w:t xml:space="preserve">Instructional Professor, Instructional Associate Professor, Instructional Assistant Professor  </w:t>
      </w:r>
    </w:p>
    <w:p w14:paraId="783195DA" w14:textId="77777777" w:rsidR="005D1823" w:rsidRDefault="003C0EB9">
      <w:pPr>
        <w:ind w:left="1091" w:right="4"/>
      </w:pPr>
      <w:r>
        <w:t xml:space="preserve">Faculty in these appointments focus on teaching; they may also contribute to research or to departmental service (primarily in the area of education).  Instructional faculty members will primarily be evaluated on teaching activity, and research/service activity incident to the context of instruction and program/curricular development. </w:t>
      </w:r>
    </w:p>
    <w:p w14:paraId="214EB698" w14:textId="77777777" w:rsidR="005D1823" w:rsidRDefault="003C0EB9">
      <w:pPr>
        <w:ind w:left="1091" w:right="4"/>
      </w:pPr>
      <w:r>
        <w:t xml:space="preserve">Expected contributions shall be outlined in the annual appointment letter for each individual.  The teaching load for these faculty in the Department of Geology &amp; Geophysics is typically three courses per semester but may vary depending on other duties assigned.   </w:t>
      </w:r>
    </w:p>
    <w:p w14:paraId="63BFBC5C" w14:textId="77777777" w:rsidR="005D1823" w:rsidRDefault="003C0EB9">
      <w:pPr>
        <w:spacing w:after="64" w:line="259" w:lineRule="auto"/>
        <w:ind w:left="1081" w:firstLine="0"/>
      </w:pPr>
      <w:r>
        <w:t xml:space="preserve"> </w:t>
      </w:r>
    </w:p>
    <w:p w14:paraId="4DA9F8C7" w14:textId="77777777" w:rsidR="005D1823" w:rsidRDefault="003C0EB9">
      <w:pPr>
        <w:numPr>
          <w:ilvl w:val="0"/>
          <w:numId w:val="1"/>
        </w:numPr>
        <w:spacing w:after="3" w:line="259" w:lineRule="auto"/>
        <w:ind w:hanging="270"/>
      </w:pPr>
      <w:r>
        <w:rPr>
          <w:rFonts w:cs="Calibri"/>
          <w:b/>
        </w:rPr>
        <w:t xml:space="preserve">Lecture, Senior Lecturer, Principal Lecturer </w:t>
      </w:r>
    </w:p>
    <w:p w14:paraId="0CB9BE97" w14:textId="21DFA65D" w:rsidR="005D1823" w:rsidRDefault="003C0EB9">
      <w:pPr>
        <w:ind w:left="1091" w:right="4"/>
      </w:pPr>
      <w:r>
        <w:t xml:space="preserve">These appointments are for faculty who make significant contributions to teaching </w:t>
      </w:r>
      <w:proofErr w:type="gramStart"/>
      <w:r>
        <w:t>activity, but</w:t>
      </w:r>
      <w:proofErr w:type="gramEnd"/>
      <w:r>
        <w:t xml:space="preserve"> are not required to consistently make significant contributions in the areas of scholarly research or service. </w:t>
      </w:r>
      <w:r w:rsidR="00CF61AF">
        <w:t xml:space="preserve">The teaching load for these faculty in the Department of Geology &amp; Geophysics is typically four courses per semester. </w:t>
      </w:r>
      <w:r>
        <w:t xml:space="preserve"> Lecturer faculty members will primarily be evaluated on teaching activity. </w:t>
      </w:r>
    </w:p>
    <w:p w14:paraId="02FF7143" w14:textId="2D83989E" w:rsidR="005D1823" w:rsidRDefault="005D1823" w:rsidP="0010753D">
      <w:pPr>
        <w:spacing w:after="309"/>
        <w:ind w:right="4"/>
      </w:pPr>
    </w:p>
    <w:p w14:paraId="1CA8DB27" w14:textId="2E591996" w:rsidR="005D1823" w:rsidRDefault="003C0EB9" w:rsidP="00CF61AF">
      <w:pPr>
        <w:ind w:left="366" w:right="4"/>
      </w:pPr>
      <w:r w:rsidRPr="0010753D">
        <w:t xml:space="preserve"> </w:t>
      </w:r>
      <w:r w:rsidR="00CF61AF" w:rsidRPr="0010753D">
        <w:t>Other Titles</w:t>
      </w:r>
      <w:r w:rsidR="00CF61AF">
        <w:t>:</w:t>
      </w:r>
    </w:p>
    <w:p w14:paraId="1984E00A" w14:textId="77777777" w:rsidR="00CF61AF" w:rsidRDefault="00CF61AF" w:rsidP="00CF61AF">
      <w:pPr>
        <w:numPr>
          <w:ilvl w:val="0"/>
          <w:numId w:val="1"/>
        </w:numPr>
        <w:spacing w:after="3" w:line="259" w:lineRule="auto"/>
        <w:ind w:hanging="270"/>
      </w:pPr>
      <w:r>
        <w:rPr>
          <w:rFonts w:cs="Calibri"/>
          <w:b/>
        </w:rPr>
        <w:t xml:space="preserve">Senior Professor  </w:t>
      </w:r>
    </w:p>
    <w:p w14:paraId="1993A731" w14:textId="77777777" w:rsidR="00CF61AF" w:rsidRDefault="00CF61AF" w:rsidP="00CF61AF">
      <w:pPr>
        <w:ind w:left="1091" w:right="4"/>
      </w:pPr>
      <w:r>
        <w:t xml:space="preserve">This appointment is a non-tenure accruing appointment for faculty who have completed a career trajectory as a tenured faculty member and are in the process of retiring within a specified period of time. </w:t>
      </w:r>
    </w:p>
    <w:p w14:paraId="12F2769C" w14:textId="77777777" w:rsidR="00CF61AF" w:rsidRDefault="00CF61AF" w:rsidP="00CF61AF">
      <w:pPr>
        <w:ind w:left="1091" w:right="4"/>
      </w:pPr>
    </w:p>
    <w:p w14:paraId="40D97418" w14:textId="77777777" w:rsidR="00CF61AF" w:rsidRDefault="00CF61AF" w:rsidP="00CF61AF">
      <w:pPr>
        <w:numPr>
          <w:ilvl w:val="0"/>
          <w:numId w:val="1"/>
        </w:numPr>
        <w:spacing w:after="3" w:line="259" w:lineRule="auto"/>
        <w:ind w:hanging="270"/>
      </w:pPr>
      <w:r>
        <w:rPr>
          <w:rFonts w:cs="Calibri"/>
          <w:b/>
        </w:rPr>
        <w:t xml:space="preserve">Visiting [Faculty Title] </w:t>
      </w:r>
    </w:p>
    <w:p w14:paraId="20569D77" w14:textId="7147986E" w:rsidR="00CF61AF" w:rsidRDefault="00CF61AF" w:rsidP="00CF61AF">
      <w:pPr>
        <w:ind w:left="1091" w:right="4"/>
      </w:pPr>
      <w:r>
        <w:t>These appointments are limited term appointments expected to be no more than three years and can be one year or one semester appointments.  The appointment should involve a specific set of expectations and duties agreed upon between the faculty member and the unit and outlined in the hiring offer letter.</w:t>
      </w:r>
    </w:p>
    <w:p w14:paraId="49BEE505" w14:textId="77777777" w:rsidR="00CF61AF" w:rsidRDefault="00CF61AF" w:rsidP="00CF61AF">
      <w:pPr>
        <w:ind w:left="366" w:right="4"/>
      </w:pPr>
    </w:p>
    <w:p w14:paraId="53522A0E" w14:textId="77777777" w:rsidR="00CF61AF" w:rsidRDefault="00CF61AF" w:rsidP="00CF61AF">
      <w:pPr>
        <w:ind w:left="366" w:right="4"/>
      </w:pPr>
    </w:p>
    <w:p w14:paraId="73DA6F1C" w14:textId="77777777" w:rsidR="00975C34" w:rsidRDefault="00975C34" w:rsidP="0010753D">
      <w:pPr>
        <w:ind w:left="366" w:right="4"/>
      </w:pPr>
    </w:p>
    <w:p w14:paraId="14EC2969" w14:textId="77777777" w:rsidR="005D1823" w:rsidRDefault="003C0EB9">
      <w:pPr>
        <w:pStyle w:val="Heading1"/>
        <w:ind w:left="356"/>
      </w:pPr>
      <w:r>
        <w:t xml:space="preserve">Section 3: Expectations for Areas of Faculty Performance  </w:t>
      </w:r>
    </w:p>
    <w:p w14:paraId="42FD5B24" w14:textId="77777777" w:rsidR="005D1823" w:rsidRDefault="003C0EB9">
      <w:pPr>
        <w:spacing w:after="100" w:line="259" w:lineRule="auto"/>
        <w:ind w:left="361" w:firstLine="0"/>
      </w:pPr>
      <w:r>
        <w:t xml:space="preserve"> </w:t>
      </w:r>
    </w:p>
    <w:p w14:paraId="0C9E3E30" w14:textId="77777777" w:rsidR="005D1823" w:rsidRDefault="003C0EB9">
      <w:pPr>
        <w:ind w:right="4"/>
      </w:pPr>
      <w:r>
        <w:t xml:space="preserve">This section describes the expectations of Department of Geology &amp; Geophysics faculty for evaluation for tenure, promotion and merit compensation, common to all units across the College. </w:t>
      </w:r>
    </w:p>
    <w:p w14:paraId="2DC45D34" w14:textId="77777777" w:rsidR="005D1823" w:rsidRDefault="003C0EB9">
      <w:pPr>
        <w:spacing w:after="0" w:line="259" w:lineRule="auto"/>
        <w:ind w:left="721" w:firstLine="0"/>
      </w:pPr>
      <w:r>
        <w:t xml:space="preserve"> </w:t>
      </w:r>
    </w:p>
    <w:p w14:paraId="689CA6F9" w14:textId="77777777" w:rsidR="001D694C" w:rsidRDefault="003C0EB9">
      <w:pPr>
        <w:ind w:right="4"/>
      </w:pPr>
      <w:r>
        <w:t xml:space="preserve">Decisions on tenure, </w:t>
      </w:r>
      <w:r>
        <w:rPr>
          <w:rFonts w:cs="Calibri"/>
        </w:rPr>
        <w:t xml:space="preserve">promotion, and merit compensation will be based upon the faculty member’s performance in the </w:t>
      </w:r>
      <w:r>
        <w:t>assigned categories of performance, particularly their contributions to the research, teaching and service missions of Texas A&amp;M University.  The standard level of effort for a tenure-track or tenured faculty member is 40% research, 40% teaching and 20% service (unless unique terms have been established by the department head, approved by the college, in the annual appointment letter)</w:t>
      </w:r>
      <w:r>
        <w:rPr>
          <w:rFonts w:cs="Calibri"/>
          <w:b/>
          <w:i/>
        </w:rPr>
        <w:t>.</w:t>
      </w:r>
      <w:r>
        <w:t xml:space="preserve"> While the absolute balance of time and effort may evolve over the course of a career, the Department of Geology &amp; Geophysics expects sustained excellence in each of the three dimensions.  Sustained excellence in scholarly impact is based on the standards of impact valued within the specific discipline.  Regardless of discipline, the Department expects tenure-track and tenured faculty member to consistently seek external funding and advance the discipline through peer-reviewed publications and products at every career stage.  Sustained excellence in teaching includes consistent revision of course materials and instructional methods/assessments based on the evolving nature of the discipline and standards of pedagogical excellence.  Sustained excellence in service at a minimum consists of conscientious contributions to Department, College and University efforts as assigned or requested, as well as external service to the discipline.  </w:t>
      </w:r>
    </w:p>
    <w:p w14:paraId="14CC4BA2" w14:textId="77777777" w:rsidR="001D694C" w:rsidRDefault="001D694C" w:rsidP="001D694C">
      <w:pPr>
        <w:ind w:left="381" w:right="4"/>
      </w:pPr>
    </w:p>
    <w:p w14:paraId="7D190CC8" w14:textId="10512A31" w:rsidR="001D694C" w:rsidRPr="001D694C" w:rsidRDefault="001D694C" w:rsidP="001D694C">
      <w:pPr>
        <w:ind w:left="381" w:right="4"/>
      </w:pPr>
      <w:r w:rsidRPr="001D694C">
        <w:t xml:space="preserve">Faculty members in the academic professional track (non-tenure track) are evaluated in their assigned areas of faculty performance.  For example, faculty with Research in their title will be evaluated with a primary emphasis on the quality and impact of their research/scholarly/creative work activities.  All new Professional track faculty members will be provided with an initial appointment letter stating the assigned areas of performance, initial terms, and conditions of employment.  Subsequent modifications in regard to the appointment, which may be made on an annual basis, will be stated in the annual appointment letter.  Reviews will include all requirements established in appointment letters. </w:t>
      </w:r>
    </w:p>
    <w:p w14:paraId="5233E26E" w14:textId="77777777" w:rsidR="001D694C" w:rsidRDefault="001D694C">
      <w:pPr>
        <w:ind w:right="4"/>
      </w:pPr>
    </w:p>
    <w:p w14:paraId="61385C58" w14:textId="1A0BCFE9" w:rsidR="005D1823" w:rsidRDefault="003C0EB9">
      <w:pPr>
        <w:ind w:right="4"/>
      </w:pPr>
      <w:r>
        <w:t xml:space="preserve">Descriptions of faculty expectations in their assigned areas of faculty performance appear below.  Alternate work assignments (such as administration, etc.) may replace one or more areas in certain situations, but only with the written </w:t>
      </w:r>
      <w:r>
        <w:lastRenderedPageBreak/>
        <w:t xml:space="preserve">approval of the Department Head and Dean.  Faculty with alternate work assignment will be reviewed based on assigned duties (including administrative assignments). </w:t>
      </w:r>
    </w:p>
    <w:p w14:paraId="5C61DAAA" w14:textId="77777777" w:rsidR="001D694C" w:rsidRDefault="001D694C">
      <w:pPr>
        <w:ind w:right="4"/>
      </w:pPr>
    </w:p>
    <w:p w14:paraId="0F71303E" w14:textId="77777777" w:rsidR="001D694C" w:rsidRDefault="001D694C">
      <w:pPr>
        <w:ind w:right="4"/>
      </w:pPr>
    </w:p>
    <w:p w14:paraId="4A3B8E9C" w14:textId="77777777" w:rsidR="005D1823" w:rsidRDefault="003C0EB9">
      <w:pPr>
        <w:spacing w:after="86" w:line="259" w:lineRule="auto"/>
        <w:ind w:left="0" w:firstLine="0"/>
      </w:pPr>
      <w:r>
        <w:rPr>
          <w:rFonts w:cs="Calibri"/>
          <w:i/>
        </w:rPr>
        <w:t xml:space="preserve"> </w:t>
      </w:r>
    </w:p>
    <w:p w14:paraId="69DACD10" w14:textId="77777777" w:rsidR="005D1823" w:rsidRDefault="003C0EB9">
      <w:pPr>
        <w:pStyle w:val="Heading2"/>
        <w:ind w:left="356"/>
      </w:pPr>
      <w:r>
        <w:t>3.1</w:t>
      </w:r>
      <w:r>
        <w:rPr>
          <w:rFonts w:ascii="Arial" w:eastAsia="Arial" w:hAnsi="Arial" w:cs="Arial"/>
        </w:rPr>
        <w:t xml:space="preserve"> </w:t>
      </w:r>
      <w:r>
        <w:t xml:space="preserve">Teaching </w:t>
      </w:r>
    </w:p>
    <w:p w14:paraId="09F9C937" w14:textId="77777777" w:rsidR="005D1823" w:rsidRDefault="003C0EB9">
      <w:pPr>
        <w:spacing w:after="118" w:line="241" w:lineRule="auto"/>
        <w:ind w:left="931" w:right="-8"/>
        <w:jc w:val="both"/>
      </w:pPr>
      <w:r>
        <w:t xml:space="preserve">Teaching is central to the mission of the Department and College, and effectiveness in teaching is required of all faculty.  All faculty members are expected to: 1) contribute to instruction and student development; 2) continuously strive to improve their </w:t>
      </w:r>
      <w:r>
        <w:rPr>
          <w:rFonts w:cs="Calibri"/>
        </w:rPr>
        <w:t xml:space="preserve">teaching effectiveness; and 3) promote the Department and College’s instructional </w:t>
      </w:r>
      <w:r>
        <w:t xml:space="preserve">programs.  Effectiveness and excellence in teaching affect decisions on merit compensation, tenure, and promotion.   </w:t>
      </w:r>
    </w:p>
    <w:p w14:paraId="4EA8F3C2" w14:textId="77777777" w:rsidR="005D1823" w:rsidRDefault="003C0EB9">
      <w:pPr>
        <w:spacing w:after="1" w:line="241" w:lineRule="auto"/>
        <w:ind w:left="931" w:right="-8"/>
        <w:jc w:val="both"/>
      </w:pPr>
      <w:r>
        <w:t>Evaluation of teaching does not lend itself solely to quantitative measurement, and we will use multiple sources of information and methods to assess teaching. Student evaluations are required but not sufficient to evaluate teaching. Other measures/sources of information may include</w:t>
      </w:r>
      <w:r>
        <w:rPr>
          <w:rFonts w:cs="Calibri"/>
          <w:b/>
          <w:i/>
        </w:rPr>
        <w:t>:</w:t>
      </w:r>
      <w:r>
        <w:t xml:space="preserve"> 1) self-evaluation; 2) peer-evaluation; 3) student feedback; and 4) student learning.  The criteria for effectiveness that shall be considered in evaluating teaching performance are:</w:t>
      </w:r>
      <w:r>
        <w:rPr>
          <w:rFonts w:cs="Calibri"/>
          <w:b/>
          <w:i/>
        </w:rPr>
        <w:t xml:space="preserve"> </w:t>
      </w:r>
      <w:r>
        <w:rPr>
          <w:rFonts w:cs="Calibri"/>
          <w:i/>
        </w:rPr>
        <w:t xml:space="preserve">(i) </w:t>
      </w:r>
      <w:r>
        <w:t xml:space="preserve">coverage of appropriate material in a rigorous manner, </w:t>
      </w:r>
      <w:r>
        <w:rPr>
          <w:rFonts w:cs="Calibri"/>
          <w:i/>
        </w:rPr>
        <w:t xml:space="preserve">(ii) </w:t>
      </w:r>
      <w:r>
        <w:t xml:space="preserve">effective classroom presentation, and </w:t>
      </w:r>
      <w:r>
        <w:rPr>
          <w:rFonts w:cs="Calibri"/>
          <w:i/>
        </w:rPr>
        <w:t xml:space="preserve">(iii) </w:t>
      </w:r>
      <w:r>
        <w:t xml:space="preserve">reasonable evaluation of the student's performance. Items </w:t>
      </w:r>
      <w:r>
        <w:rPr>
          <w:rFonts w:cs="Calibri"/>
          <w:i/>
        </w:rPr>
        <w:t xml:space="preserve">(i) </w:t>
      </w:r>
      <w:r>
        <w:t xml:space="preserve">and </w:t>
      </w:r>
      <w:r>
        <w:rPr>
          <w:rFonts w:cs="Calibri"/>
          <w:i/>
        </w:rPr>
        <w:t xml:space="preserve">(iii) </w:t>
      </w:r>
      <w:r>
        <w:t xml:space="preserve">are generally handled by peer evaluation of appropriate materials, such as class syllabi, notes, and examinations. Some information on these two items may also be obtained from student evaluation. Item </w:t>
      </w:r>
      <w:r>
        <w:rPr>
          <w:rFonts w:cs="Calibri"/>
          <w:i/>
        </w:rPr>
        <w:t xml:space="preserve">(ii) </w:t>
      </w:r>
      <w:r>
        <w:t xml:space="preserve">may be evaluated by student evaluations, classroom assessments by senior faculty and alumni surveys. </w:t>
      </w:r>
    </w:p>
    <w:p w14:paraId="429C3CD5" w14:textId="77777777" w:rsidR="005D1823" w:rsidRDefault="003C0EB9">
      <w:pPr>
        <w:spacing w:after="163" w:line="259" w:lineRule="auto"/>
        <w:ind w:left="936" w:firstLine="0"/>
      </w:pPr>
      <w:r>
        <w:t xml:space="preserve"> </w:t>
      </w:r>
    </w:p>
    <w:p w14:paraId="7ED68BAB" w14:textId="77777777" w:rsidR="005D1823" w:rsidRDefault="003C0EB9">
      <w:pPr>
        <w:pStyle w:val="Heading2"/>
        <w:ind w:left="356"/>
      </w:pPr>
      <w:r>
        <w:t>3.2</w:t>
      </w:r>
      <w:r>
        <w:rPr>
          <w:rFonts w:ascii="Arial" w:eastAsia="Arial" w:hAnsi="Arial" w:cs="Arial"/>
        </w:rPr>
        <w:t xml:space="preserve"> </w:t>
      </w:r>
      <w:r>
        <w:t xml:space="preserve">Research, scholarly activity or creative work  </w:t>
      </w:r>
    </w:p>
    <w:p w14:paraId="07B92C97" w14:textId="77777777" w:rsidR="005D1823" w:rsidRDefault="003C0EB9">
      <w:pPr>
        <w:spacing w:after="118" w:line="241" w:lineRule="auto"/>
        <w:ind w:left="931" w:right="-8"/>
        <w:jc w:val="both"/>
      </w:pPr>
      <w:r>
        <w:t xml:space="preserve">Active production of scholarly work is expected and necessary for promotion and tenure. In addition, scholarly work should be appropriate in the context of supporting the mission of the Department. Pursuit of scholarship can be accomplished in teaching, research, or professional activities. A shared characteristic of scholastic contributions is the production of peer-evaluated work. Scholarly activities are those that result in peer-reviewed publications or peer-reviewed products (e.g., maps, databases, software programs). Publications in highly ranked refereed journals carry the greatest weight, presentations and publications in regional conferences rank lower. In evaluation of publications, emphasis is placed upon the quality of the work.  External funding is expected to support the pursuit of research, including the graduate student researchers who are mentored by each faculty member.  </w:t>
      </w:r>
    </w:p>
    <w:p w14:paraId="65F04DEE" w14:textId="77777777" w:rsidR="005D1823" w:rsidRDefault="003C0EB9">
      <w:pPr>
        <w:spacing w:after="121" w:line="259" w:lineRule="auto"/>
        <w:ind w:left="361" w:firstLine="0"/>
      </w:pPr>
      <w:r>
        <w:t xml:space="preserve"> </w:t>
      </w:r>
    </w:p>
    <w:p w14:paraId="4EEAA2B0" w14:textId="77777777" w:rsidR="005D1823" w:rsidRDefault="003C0EB9">
      <w:pPr>
        <w:pStyle w:val="Heading2"/>
        <w:ind w:left="356"/>
      </w:pPr>
      <w:r>
        <w:t>3.3</w:t>
      </w:r>
      <w:r>
        <w:rPr>
          <w:rFonts w:ascii="Arial" w:eastAsia="Arial" w:hAnsi="Arial" w:cs="Arial"/>
        </w:rPr>
        <w:t xml:space="preserve"> </w:t>
      </w:r>
      <w:r>
        <w:t xml:space="preserve">Service  </w:t>
      </w:r>
    </w:p>
    <w:p w14:paraId="1A70241D" w14:textId="77777777" w:rsidR="005D1823" w:rsidRDefault="003C0EB9">
      <w:pPr>
        <w:ind w:left="931" w:right="4"/>
      </w:pPr>
      <w:r>
        <w:t xml:space="preserve">Service includes service to the Department, the College, the University, the academic discipline, and the broader community, and must be appropriate in the context of the mission of the Department. Serving as chair of major committees represents a leadership role and contributes to the stature of the Department and College. Typical service activities to the academic discipline may include organizing national or international symposia or workshops; serving as a member of boards of international or national symposia, an officer in professional societies, referee or reviewer for funding agencies, professional journals, or textbook publishers; and participating in editorial boards of journals or textbooks and grant review panels.  Service to the broader community includes extramural service and outreach activities that benefit local schools, industry, local/state/national agencies, or community organizations. Service is evaluated in two separate parts: internal service to the department, college and university, and service external to TAMU. The Department will combine the evaluation of these two service components to form a single overall service evaluation. </w:t>
      </w:r>
    </w:p>
    <w:p w14:paraId="5B262EC5" w14:textId="77777777" w:rsidR="005D1823" w:rsidRDefault="003C0EB9">
      <w:pPr>
        <w:spacing w:after="0" w:line="259" w:lineRule="auto"/>
        <w:ind w:left="1081" w:firstLine="0"/>
      </w:pPr>
      <w:r>
        <w:t xml:space="preserve"> </w:t>
      </w:r>
    </w:p>
    <w:p w14:paraId="62DD2B48" w14:textId="77777777" w:rsidR="005D1823" w:rsidRDefault="003C0EB9">
      <w:pPr>
        <w:spacing w:after="315" w:line="259" w:lineRule="auto"/>
        <w:ind w:left="1171" w:firstLine="0"/>
      </w:pPr>
      <w:r>
        <w:t xml:space="preserve"> </w:t>
      </w:r>
    </w:p>
    <w:p w14:paraId="59D262B0" w14:textId="77777777" w:rsidR="005D1823" w:rsidRDefault="003C0EB9">
      <w:pPr>
        <w:pStyle w:val="Heading1"/>
        <w:ind w:left="356"/>
      </w:pPr>
      <w:r>
        <w:lastRenderedPageBreak/>
        <w:t xml:space="preserve">Section 4: Indicators of Faculty Excellence and Effectiveness </w:t>
      </w:r>
    </w:p>
    <w:p w14:paraId="7720EB9A" w14:textId="77777777" w:rsidR="005D1823" w:rsidRDefault="003C0EB9">
      <w:pPr>
        <w:spacing w:after="0" w:line="259" w:lineRule="auto"/>
        <w:ind w:left="0" w:firstLine="0"/>
      </w:pPr>
      <w:r>
        <w:rPr>
          <w:rFonts w:cs="Calibri"/>
          <w:b/>
          <w:sz w:val="24"/>
        </w:rPr>
        <w:t xml:space="preserve"> </w:t>
      </w:r>
    </w:p>
    <w:p w14:paraId="53E8695A" w14:textId="77777777" w:rsidR="001D694C" w:rsidRDefault="003C0EB9">
      <w:pPr>
        <w:spacing w:after="95"/>
        <w:ind w:right="4"/>
      </w:pPr>
      <w:r>
        <w:t xml:space="preserve">The Department of Geology and Geophysics recognizes that there are multiple indicators of various levels of performance. Additionally, performance and their respective indicators will vary over time for any individual at different career stages.  This document does not provide a specific formula for evaluating faculty performance.  However, it is possible to describe accomplishments that are most likely to lead to career development and to favorable evaluations.  The sections that follow provide representative indicators of excellence and effectiveness for each performance area (examples provided in Appendix I of </w:t>
      </w:r>
      <w:hyperlink r:id="rId24">
        <w:r>
          <w:rPr>
            <w:u w:val="single" w:color="000000"/>
          </w:rPr>
          <w:t>University Rule 12.01.99.M2</w:t>
        </w:r>
      </w:hyperlink>
      <w:hyperlink r:id="rId25">
        <w:r>
          <w:t>)</w:t>
        </w:r>
      </w:hyperlink>
      <w:r>
        <w:t>.</w:t>
      </w:r>
    </w:p>
    <w:p w14:paraId="44FB61D7" w14:textId="46D77D22" w:rsidR="005D1823" w:rsidRDefault="003C0EB9">
      <w:pPr>
        <w:spacing w:after="95"/>
        <w:ind w:right="4"/>
      </w:pPr>
      <w:r>
        <w:t xml:space="preserve">   </w:t>
      </w:r>
    </w:p>
    <w:p w14:paraId="7AE54859" w14:textId="77777777" w:rsidR="005D1823" w:rsidRDefault="003C0EB9">
      <w:pPr>
        <w:spacing w:after="88" w:line="259" w:lineRule="auto"/>
        <w:ind w:left="721" w:firstLine="0"/>
      </w:pPr>
      <w:r>
        <w:rPr>
          <w:rFonts w:cs="Calibri"/>
          <w:b/>
        </w:rPr>
        <w:t xml:space="preserve"> </w:t>
      </w:r>
    </w:p>
    <w:p w14:paraId="491576F7" w14:textId="77777777" w:rsidR="005D1823" w:rsidRDefault="003C0EB9">
      <w:pPr>
        <w:pStyle w:val="Heading2"/>
        <w:ind w:left="356"/>
      </w:pPr>
      <w:r>
        <w:t>4.1</w:t>
      </w:r>
      <w:r>
        <w:rPr>
          <w:rFonts w:ascii="Arial" w:eastAsia="Arial" w:hAnsi="Arial" w:cs="Arial"/>
        </w:rPr>
        <w:t xml:space="preserve"> </w:t>
      </w:r>
      <w:r>
        <w:t xml:space="preserve">Indicators of Effectiveness in Teaching includes, but is not limited to:  </w:t>
      </w:r>
    </w:p>
    <w:p w14:paraId="016A2E67" w14:textId="0196C766" w:rsidR="00135DCF" w:rsidRPr="004D0D9F" w:rsidRDefault="00135DCF">
      <w:pPr>
        <w:numPr>
          <w:ilvl w:val="0"/>
          <w:numId w:val="2"/>
        </w:numPr>
        <w:ind w:right="4" w:hanging="360"/>
      </w:pPr>
      <w:r>
        <w:rPr>
          <w:rFonts w:ascii="Aptos" w:hAnsi="Aptos"/>
        </w:rPr>
        <w:t> Consistent use of high-quality teaching materials that are accurate, organized, and up to date.</w:t>
      </w:r>
    </w:p>
    <w:p w14:paraId="5781CC81" w14:textId="51289856" w:rsidR="005D1823" w:rsidRDefault="003C0EB9">
      <w:pPr>
        <w:numPr>
          <w:ilvl w:val="0"/>
          <w:numId w:val="2"/>
        </w:numPr>
        <w:ind w:right="4" w:hanging="360"/>
      </w:pPr>
      <w:r>
        <w:t xml:space="preserve">Documented effort at continued pedagogical development, such as participation in teaching workshops.  </w:t>
      </w:r>
    </w:p>
    <w:p w14:paraId="298F447C" w14:textId="7A348497" w:rsidR="005D1823" w:rsidRDefault="003C0EB9">
      <w:pPr>
        <w:numPr>
          <w:ilvl w:val="0"/>
          <w:numId w:val="2"/>
        </w:numPr>
        <w:ind w:right="4" w:hanging="360"/>
      </w:pPr>
      <w:r>
        <w:t>Development and successful implementation of innovative pedagogy, new laboratory exercises or class assignments, including course content and pedagogies</w:t>
      </w:r>
      <w:r w:rsidR="00135DCF">
        <w:t>.</w:t>
      </w:r>
      <w:r>
        <w:t xml:space="preserve"> </w:t>
      </w:r>
    </w:p>
    <w:p w14:paraId="41788AA4" w14:textId="775C5DC2" w:rsidR="00135DCF" w:rsidRDefault="00505612" w:rsidP="00135DCF">
      <w:pPr>
        <w:numPr>
          <w:ilvl w:val="0"/>
          <w:numId w:val="2"/>
        </w:numPr>
        <w:ind w:right="4" w:hanging="360"/>
      </w:pPr>
      <w:r>
        <w:t>Consistent use of methods to create an</w:t>
      </w:r>
      <w:r w:rsidR="00135DCF">
        <w:t xml:space="preserve"> effective learning environment, supportive of students with different backgrounds and learning styles.</w:t>
      </w:r>
    </w:p>
    <w:p w14:paraId="784317CB" w14:textId="058459E0" w:rsidR="005D1823" w:rsidRDefault="003C0EB9">
      <w:pPr>
        <w:numPr>
          <w:ilvl w:val="0"/>
          <w:numId w:val="2"/>
        </w:numPr>
        <w:ind w:right="4" w:hanging="360"/>
      </w:pPr>
      <w:r>
        <w:t xml:space="preserve">Expanding or enhancing student access to geoscience research and career opportunities.   </w:t>
      </w:r>
    </w:p>
    <w:p w14:paraId="40F4C347" w14:textId="2D85E340" w:rsidR="005D1823" w:rsidRDefault="003C0EB9">
      <w:pPr>
        <w:numPr>
          <w:ilvl w:val="0"/>
          <w:numId w:val="2"/>
        </w:numPr>
        <w:ind w:right="4" w:hanging="360"/>
      </w:pPr>
      <w:r>
        <w:t xml:space="preserve">Expanding or enhancing opportunities for </w:t>
      </w:r>
      <w:r w:rsidR="00C4320F">
        <w:t xml:space="preserve">high impact learning experiences for undergraduates (e.g., undergraduate research, study abroad, service learning, etc.) </w:t>
      </w:r>
    </w:p>
    <w:p w14:paraId="08F4504A" w14:textId="77777777" w:rsidR="005D1823" w:rsidRDefault="003C0EB9">
      <w:pPr>
        <w:numPr>
          <w:ilvl w:val="0"/>
          <w:numId w:val="2"/>
        </w:numPr>
        <w:ind w:right="4" w:hanging="360"/>
      </w:pPr>
      <w:r>
        <w:t xml:space="preserve">Timely attention to and resolution of student complaints and disputes. </w:t>
      </w:r>
    </w:p>
    <w:p w14:paraId="1FB8E407" w14:textId="77777777" w:rsidR="005D1823" w:rsidRDefault="003C0EB9">
      <w:pPr>
        <w:numPr>
          <w:ilvl w:val="0"/>
          <w:numId w:val="2"/>
        </w:numPr>
        <w:ind w:right="4" w:hanging="360"/>
      </w:pPr>
      <w:r>
        <w:t xml:space="preserve">Timely graduation of and/or achievement of appropriate progress to degree on the part of mentored graduate students. </w:t>
      </w:r>
    </w:p>
    <w:p w14:paraId="13109C6A" w14:textId="77777777" w:rsidR="005D1823" w:rsidRDefault="003C0EB9">
      <w:pPr>
        <w:numPr>
          <w:ilvl w:val="0"/>
          <w:numId w:val="2"/>
        </w:numPr>
        <w:ind w:right="4" w:hanging="360"/>
      </w:pPr>
      <w:r>
        <w:t xml:space="preserve">Appropriate mentorship of teaching assistants. </w:t>
      </w:r>
    </w:p>
    <w:p w14:paraId="7F4D4700" w14:textId="77777777" w:rsidR="005D1823" w:rsidRDefault="003C0EB9">
      <w:pPr>
        <w:numPr>
          <w:ilvl w:val="0"/>
          <w:numId w:val="2"/>
        </w:numPr>
        <w:ind w:right="4" w:hanging="360"/>
      </w:pPr>
      <w:r>
        <w:t xml:space="preserve">Student satisfaction, as evidenced by such measures as student evaluation (controlling for course level and GPA).  </w:t>
      </w:r>
    </w:p>
    <w:p w14:paraId="52A9C98E" w14:textId="77777777" w:rsidR="005D1823" w:rsidRDefault="003C0EB9">
      <w:pPr>
        <w:spacing w:after="88" w:line="259" w:lineRule="auto"/>
        <w:ind w:left="361" w:firstLine="0"/>
      </w:pPr>
      <w:r>
        <w:t xml:space="preserve"> </w:t>
      </w:r>
    </w:p>
    <w:p w14:paraId="56A61E7B" w14:textId="77777777" w:rsidR="005D1823" w:rsidRDefault="003C0EB9">
      <w:pPr>
        <w:pStyle w:val="Heading2"/>
        <w:ind w:left="356"/>
      </w:pPr>
      <w:r>
        <w:t>4.2</w:t>
      </w:r>
      <w:r>
        <w:rPr>
          <w:rFonts w:ascii="Arial" w:eastAsia="Arial" w:hAnsi="Arial" w:cs="Arial"/>
        </w:rPr>
        <w:t xml:space="preserve"> </w:t>
      </w:r>
      <w:r>
        <w:t xml:space="preserve">Indicators of Excellence in Teaching includes, but is not limited to:  </w:t>
      </w:r>
    </w:p>
    <w:p w14:paraId="2BD2590C" w14:textId="77777777" w:rsidR="005D1823" w:rsidRDefault="003C0EB9">
      <w:pPr>
        <w:numPr>
          <w:ilvl w:val="0"/>
          <w:numId w:val="3"/>
        </w:numPr>
        <w:ind w:right="4" w:hanging="360"/>
      </w:pPr>
      <w:r>
        <w:t xml:space="preserve">Selection for a University or professional society outstanding teacher award.  </w:t>
      </w:r>
    </w:p>
    <w:p w14:paraId="1F8DB8CA" w14:textId="77777777" w:rsidR="00135DCF" w:rsidRDefault="00135DCF" w:rsidP="00135DCF">
      <w:pPr>
        <w:numPr>
          <w:ilvl w:val="0"/>
          <w:numId w:val="3"/>
        </w:numPr>
        <w:ind w:right="4" w:hanging="360"/>
      </w:pPr>
      <w:r>
        <w:t xml:space="preserve">Demonstrated improvement in student learning due to revised curriculum/improved pedagogy.  </w:t>
      </w:r>
    </w:p>
    <w:p w14:paraId="77F503B8" w14:textId="77777777" w:rsidR="00135DCF" w:rsidRDefault="00135DCF" w:rsidP="00135DCF">
      <w:pPr>
        <w:numPr>
          <w:ilvl w:val="0"/>
          <w:numId w:val="3"/>
        </w:numPr>
        <w:ind w:right="4" w:hanging="360"/>
      </w:pPr>
      <w:r>
        <w:t xml:space="preserve">Development of new pedagogy and transfer of pedagogy to other faculty members. </w:t>
      </w:r>
    </w:p>
    <w:p w14:paraId="63A7F22D" w14:textId="36318BF8" w:rsidR="00C4320F" w:rsidRDefault="00C4320F" w:rsidP="00135DCF">
      <w:pPr>
        <w:numPr>
          <w:ilvl w:val="0"/>
          <w:numId w:val="3"/>
        </w:numPr>
        <w:ind w:right="4" w:hanging="360"/>
      </w:pPr>
      <w:r>
        <w:t xml:space="preserve">Successful mentoring of other instructors in pedagogy. </w:t>
      </w:r>
    </w:p>
    <w:p w14:paraId="3FAEEE3C" w14:textId="77777777" w:rsidR="005D1823" w:rsidRDefault="003C0EB9">
      <w:pPr>
        <w:numPr>
          <w:ilvl w:val="0"/>
          <w:numId w:val="3"/>
        </w:numPr>
        <w:ind w:right="4" w:hanging="360"/>
      </w:pPr>
      <w:r>
        <w:t xml:space="preserve">Publication of widely adopted or acclaimed instructional materials.  </w:t>
      </w:r>
    </w:p>
    <w:p w14:paraId="34F65B93" w14:textId="77777777" w:rsidR="005D1823" w:rsidRDefault="003C0EB9">
      <w:pPr>
        <w:numPr>
          <w:ilvl w:val="0"/>
          <w:numId w:val="3"/>
        </w:numPr>
        <w:ind w:right="4" w:hanging="360"/>
      </w:pPr>
      <w:r>
        <w:t xml:space="preserve">Developing a new course that fills an identified need in the curriculum. </w:t>
      </w:r>
    </w:p>
    <w:p w14:paraId="7D4EC884" w14:textId="77777777" w:rsidR="005D1823" w:rsidRDefault="003C0EB9">
      <w:pPr>
        <w:numPr>
          <w:ilvl w:val="0"/>
          <w:numId w:val="3"/>
        </w:numPr>
        <w:ind w:right="4" w:hanging="360"/>
      </w:pPr>
      <w:r>
        <w:t xml:space="preserve">Receiving external grant support for curricular materials. </w:t>
      </w:r>
    </w:p>
    <w:p w14:paraId="2574A0C7" w14:textId="77777777" w:rsidR="00135DCF" w:rsidRDefault="00135DCF" w:rsidP="00135DCF">
      <w:pPr>
        <w:numPr>
          <w:ilvl w:val="0"/>
          <w:numId w:val="3"/>
        </w:numPr>
        <w:ind w:right="4" w:hanging="360"/>
      </w:pPr>
      <w:r>
        <w:t xml:space="preserve">Outstanding mentoring of graduate research as indicated by performance (publications, presentations, awards, grants), placement and subsequent career advancement. </w:t>
      </w:r>
    </w:p>
    <w:p w14:paraId="526F5D7F" w14:textId="77777777" w:rsidR="005D1823" w:rsidRDefault="003C0EB9">
      <w:pPr>
        <w:numPr>
          <w:ilvl w:val="0"/>
          <w:numId w:val="3"/>
        </w:numPr>
        <w:ind w:right="4" w:hanging="360"/>
      </w:pPr>
      <w:r>
        <w:t xml:space="preserve">Placement of graduate students or post-doctoral fellows into significant academic, scholarly, or professional positions. </w:t>
      </w:r>
    </w:p>
    <w:p w14:paraId="087C2582" w14:textId="046BC6D3" w:rsidR="005D1823" w:rsidRDefault="005D1823">
      <w:pPr>
        <w:spacing w:after="88" w:line="259" w:lineRule="auto"/>
        <w:ind w:left="1081" w:firstLine="0"/>
      </w:pPr>
    </w:p>
    <w:p w14:paraId="1DB7A9E5" w14:textId="77777777" w:rsidR="005D1823" w:rsidRDefault="003C0EB9">
      <w:pPr>
        <w:pStyle w:val="Heading2"/>
        <w:ind w:left="921" w:hanging="575"/>
      </w:pPr>
      <w:r>
        <w:lastRenderedPageBreak/>
        <w:t>4.3</w:t>
      </w:r>
      <w:r>
        <w:rPr>
          <w:rFonts w:ascii="Arial" w:eastAsia="Arial" w:hAnsi="Arial" w:cs="Arial"/>
        </w:rPr>
        <w:t xml:space="preserve"> </w:t>
      </w:r>
      <w:r>
        <w:t xml:space="preserve">Indicators of Effectiveness in Research/Scholarly Activity/Creative Work include, but is not limited to:  </w:t>
      </w:r>
    </w:p>
    <w:p w14:paraId="29FD7C7A" w14:textId="77777777" w:rsidR="005D1823" w:rsidRDefault="003C0EB9">
      <w:pPr>
        <w:numPr>
          <w:ilvl w:val="0"/>
          <w:numId w:val="4"/>
        </w:numPr>
        <w:ind w:right="4" w:hanging="360"/>
      </w:pPr>
      <w:r>
        <w:t xml:space="preserve">Consistent publications in peer-reviewed journals, chapters in books, edited volumes, monographs, special papers, or other peer-reviewed products.  </w:t>
      </w:r>
    </w:p>
    <w:p w14:paraId="7C9D1654" w14:textId="77777777" w:rsidR="005D1823" w:rsidRDefault="003C0EB9">
      <w:pPr>
        <w:numPr>
          <w:ilvl w:val="0"/>
          <w:numId w:val="4"/>
        </w:numPr>
        <w:ind w:right="4" w:hanging="360"/>
      </w:pPr>
      <w:r>
        <w:t xml:space="preserve">Dissemination of high-impact products (e.g., peer-reviewed software packages, database, datasets).  </w:t>
      </w:r>
    </w:p>
    <w:p w14:paraId="316E95B1" w14:textId="77777777" w:rsidR="005D1823" w:rsidRDefault="003C0EB9">
      <w:pPr>
        <w:numPr>
          <w:ilvl w:val="0"/>
          <w:numId w:val="4"/>
        </w:numPr>
        <w:ind w:right="4" w:hanging="360"/>
      </w:pPr>
      <w:r>
        <w:t xml:space="preserve">Regularly successful pursuit as principal investigator of significant external (IDC-bearing) funding for research </w:t>
      </w:r>
    </w:p>
    <w:p w14:paraId="7A7186D5" w14:textId="77777777" w:rsidR="005D1823" w:rsidRDefault="003C0EB9">
      <w:pPr>
        <w:numPr>
          <w:ilvl w:val="0"/>
          <w:numId w:val="4"/>
        </w:numPr>
        <w:ind w:right="4" w:hanging="360"/>
      </w:pPr>
      <w:r>
        <w:t xml:space="preserve">Patents and/or commercialization of research. </w:t>
      </w:r>
    </w:p>
    <w:p w14:paraId="704E89EB" w14:textId="77777777" w:rsidR="005D1823" w:rsidRDefault="003C0EB9">
      <w:pPr>
        <w:numPr>
          <w:ilvl w:val="0"/>
          <w:numId w:val="4"/>
        </w:numPr>
        <w:ind w:right="4" w:hanging="360"/>
      </w:pPr>
      <w:r>
        <w:t xml:space="preserve">Regular contributions to national and international scientific conferences, and invited presentations at meetings and other venues.   </w:t>
      </w:r>
    </w:p>
    <w:p w14:paraId="100DF5D5" w14:textId="77777777" w:rsidR="005D1823" w:rsidRDefault="003C0EB9">
      <w:pPr>
        <w:numPr>
          <w:ilvl w:val="0"/>
          <w:numId w:val="4"/>
        </w:numPr>
        <w:ind w:right="4" w:hanging="360"/>
      </w:pPr>
      <w:r>
        <w:t xml:space="preserve">Frequent citations of publications. </w:t>
      </w:r>
    </w:p>
    <w:p w14:paraId="029CB0CB" w14:textId="77777777" w:rsidR="005D1823" w:rsidRDefault="003C0EB9">
      <w:pPr>
        <w:numPr>
          <w:ilvl w:val="0"/>
          <w:numId w:val="4"/>
        </w:numPr>
        <w:spacing w:after="66"/>
        <w:ind w:right="4" w:hanging="360"/>
      </w:pPr>
      <w:r>
        <w:t xml:space="preserve">Invited presentations at national and international meetings </w:t>
      </w:r>
    </w:p>
    <w:p w14:paraId="50370901" w14:textId="77777777" w:rsidR="005D1823" w:rsidRDefault="003C0EB9">
      <w:pPr>
        <w:spacing w:after="168" w:line="259" w:lineRule="auto"/>
        <w:ind w:left="1441" w:firstLine="0"/>
      </w:pPr>
      <w:r>
        <w:t xml:space="preserve"> </w:t>
      </w:r>
    </w:p>
    <w:p w14:paraId="6A613A1D" w14:textId="77777777" w:rsidR="005D1823" w:rsidRDefault="003C0EB9">
      <w:pPr>
        <w:pStyle w:val="Heading2"/>
        <w:ind w:left="921" w:hanging="575"/>
      </w:pPr>
      <w:r>
        <w:t>4.4</w:t>
      </w:r>
      <w:r>
        <w:rPr>
          <w:rFonts w:ascii="Arial" w:eastAsia="Arial" w:hAnsi="Arial" w:cs="Arial"/>
        </w:rPr>
        <w:t xml:space="preserve"> </w:t>
      </w:r>
      <w:r>
        <w:t xml:space="preserve">Indicators of Excellence in Research/Scholarly Activity/Creative Work include, but is not limited to:  </w:t>
      </w:r>
    </w:p>
    <w:p w14:paraId="2EFF57B5" w14:textId="77777777" w:rsidR="005D1823" w:rsidRDefault="003C0EB9">
      <w:pPr>
        <w:numPr>
          <w:ilvl w:val="0"/>
          <w:numId w:val="5"/>
        </w:numPr>
        <w:ind w:right="4" w:hanging="360"/>
      </w:pPr>
      <w:r>
        <w:t xml:space="preserve">A high rate of peer-reviewed publication or publication in competitive high-impact journals (e.g. Science, Nature Geoscience). </w:t>
      </w:r>
    </w:p>
    <w:p w14:paraId="14D4872F" w14:textId="77777777" w:rsidR="005D1823" w:rsidRDefault="003C0EB9">
      <w:pPr>
        <w:numPr>
          <w:ilvl w:val="0"/>
          <w:numId w:val="5"/>
        </w:numPr>
        <w:ind w:right="4" w:hanging="360"/>
      </w:pPr>
      <w:r>
        <w:t xml:space="preserve">Publication of peer-reviewed scholarly book(s) by established publisher(s).  </w:t>
      </w:r>
    </w:p>
    <w:p w14:paraId="3852D40A" w14:textId="77777777" w:rsidR="005D1823" w:rsidRDefault="003C0EB9">
      <w:pPr>
        <w:numPr>
          <w:ilvl w:val="0"/>
          <w:numId w:val="5"/>
        </w:numPr>
        <w:ind w:right="4" w:hanging="360"/>
      </w:pPr>
      <w:r>
        <w:t xml:space="preserve">National-level recognition (e.g., medal; AGU fellow) for research. </w:t>
      </w:r>
    </w:p>
    <w:p w14:paraId="5C9D65CA" w14:textId="77777777" w:rsidR="005D1823" w:rsidRDefault="003C0EB9">
      <w:pPr>
        <w:numPr>
          <w:ilvl w:val="0"/>
          <w:numId w:val="5"/>
        </w:numPr>
        <w:ind w:right="4" w:hanging="360"/>
      </w:pPr>
      <w:r>
        <w:t xml:space="preserve">Leadership in obtaining major externally funded research awards (e.g., NSF-Centers; large collaborative projects.)  </w:t>
      </w:r>
    </w:p>
    <w:p w14:paraId="1D56CE47" w14:textId="77777777" w:rsidR="005D1823" w:rsidRDefault="003C0EB9">
      <w:pPr>
        <w:numPr>
          <w:ilvl w:val="0"/>
          <w:numId w:val="5"/>
        </w:numPr>
        <w:ind w:right="4" w:hanging="360"/>
      </w:pPr>
      <w:r>
        <w:t xml:space="preserve">Authorship of invited review articles </w:t>
      </w:r>
    </w:p>
    <w:p w14:paraId="26342FBE" w14:textId="77777777" w:rsidR="005D1823" w:rsidRDefault="003C0EB9">
      <w:pPr>
        <w:numPr>
          <w:ilvl w:val="0"/>
          <w:numId w:val="5"/>
        </w:numPr>
        <w:ind w:right="4" w:hanging="360"/>
      </w:pPr>
      <w:r>
        <w:t xml:space="preserve">Keynote and/or plenary lectures at national or international conferences. </w:t>
      </w:r>
    </w:p>
    <w:p w14:paraId="3B185D79" w14:textId="77777777" w:rsidR="005D1823" w:rsidRDefault="003C0EB9">
      <w:pPr>
        <w:spacing w:after="128" w:line="259" w:lineRule="auto"/>
        <w:ind w:left="361" w:firstLine="0"/>
      </w:pPr>
      <w:r>
        <w:t xml:space="preserve"> </w:t>
      </w:r>
    </w:p>
    <w:p w14:paraId="30C6AF71" w14:textId="77777777" w:rsidR="005D1823" w:rsidRDefault="003C0EB9">
      <w:pPr>
        <w:pStyle w:val="Heading2"/>
        <w:ind w:left="356"/>
      </w:pPr>
      <w:r>
        <w:rPr>
          <w:color w:val="000000"/>
        </w:rPr>
        <w:t>4.5</w:t>
      </w:r>
      <w:r>
        <w:rPr>
          <w:rFonts w:ascii="Arial" w:eastAsia="Arial" w:hAnsi="Arial" w:cs="Arial"/>
          <w:color w:val="000000"/>
        </w:rPr>
        <w:t xml:space="preserve"> </w:t>
      </w:r>
      <w:r>
        <w:t>Indicators of Effectiveness in Service includes, but is not limited to</w:t>
      </w:r>
      <w:r>
        <w:rPr>
          <w:color w:val="000000"/>
        </w:rPr>
        <w:t xml:space="preserve">: </w:t>
      </w:r>
    </w:p>
    <w:p w14:paraId="51455CA3" w14:textId="77777777" w:rsidR="005D1823" w:rsidRDefault="003C0EB9">
      <w:pPr>
        <w:numPr>
          <w:ilvl w:val="0"/>
          <w:numId w:val="6"/>
        </w:numPr>
        <w:ind w:right="4" w:hanging="360"/>
      </w:pPr>
      <w:r>
        <w:t xml:space="preserve">Professional conduct conducive to a collegial work environment and standards of professional integrity that will advance the interests of Texas A&amp;M University. </w:t>
      </w:r>
    </w:p>
    <w:p w14:paraId="6CFFCA34" w14:textId="77777777" w:rsidR="005D1823" w:rsidRDefault="003C0EB9">
      <w:pPr>
        <w:numPr>
          <w:ilvl w:val="0"/>
          <w:numId w:val="6"/>
        </w:numPr>
        <w:ind w:right="4" w:hanging="360"/>
      </w:pPr>
      <w:r>
        <w:t xml:space="preserve">Diligent and conscientious service in department assigned committee work as assessed by the committee chair and department head.  </w:t>
      </w:r>
    </w:p>
    <w:p w14:paraId="2BFD29CC" w14:textId="77777777" w:rsidR="005D1823" w:rsidRDefault="003C0EB9">
      <w:pPr>
        <w:numPr>
          <w:ilvl w:val="0"/>
          <w:numId w:val="6"/>
        </w:numPr>
        <w:ind w:right="4" w:hanging="360"/>
      </w:pPr>
      <w:r>
        <w:t xml:space="preserve">Regular attendance at faculty meetings and department colloquia. </w:t>
      </w:r>
    </w:p>
    <w:p w14:paraId="2A394928" w14:textId="77777777" w:rsidR="005D1823" w:rsidRDefault="003C0EB9">
      <w:pPr>
        <w:numPr>
          <w:ilvl w:val="0"/>
          <w:numId w:val="6"/>
        </w:numPr>
        <w:ind w:right="4" w:hanging="360"/>
      </w:pPr>
      <w:r>
        <w:t xml:space="preserve">Participation in other faculty activities such as student and faculty recruitment. </w:t>
      </w:r>
    </w:p>
    <w:p w14:paraId="72B85965" w14:textId="77777777" w:rsidR="005D1823" w:rsidRDefault="003C0EB9">
      <w:pPr>
        <w:numPr>
          <w:ilvl w:val="0"/>
          <w:numId w:val="6"/>
        </w:numPr>
        <w:ind w:right="4" w:hanging="360"/>
      </w:pPr>
      <w:r>
        <w:t xml:space="preserve">Substantive contributions to college or university committees.  </w:t>
      </w:r>
    </w:p>
    <w:p w14:paraId="254A7E0A" w14:textId="77777777" w:rsidR="005D1823" w:rsidRDefault="003C0EB9">
      <w:pPr>
        <w:numPr>
          <w:ilvl w:val="0"/>
          <w:numId w:val="6"/>
        </w:numPr>
        <w:ind w:right="4" w:hanging="360"/>
      </w:pPr>
      <w:r>
        <w:t xml:space="preserve">Effective outreach to K-12 community and the general public through informal learning programs (including summer programs). </w:t>
      </w:r>
    </w:p>
    <w:p w14:paraId="35D21356" w14:textId="77777777" w:rsidR="005D1823" w:rsidRDefault="003C0EB9">
      <w:pPr>
        <w:numPr>
          <w:ilvl w:val="0"/>
          <w:numId w:val="6"/>
        </w:numPr>
        <w:ind w:right="4" w:hanging="360"/>
      </w:pPr>
      <w:r>
        <w:t xml:space="preserve">Serving as a referee or reviewer for funding agencies, professional journals, or book publishers.  </w:t>
      </w:r>
    </w:p>
    <w:p w14:paraId="573C8B94" w14:textId="77777777" w:rsidR="005D1823" w:rsidRDefault="003C0EB9">
      <w:pPr>
        <w:numPr>
          <w:ilvl w:val="0"/>
          <w:numId w:val="6"/>
        </w:numPr>
        <w:ind w:right="4" w:hanging="360"/>
      </w:pPr>
      <w:r>
        <w:t xml:space="preserve">Membership on national advisory boards or institutional boards or review panels. </w:t>
      </w:r>
    </w:p>
    <w:p w14:paraId="48C39597" w14:textId="77777777" w:rsidR="005D1823" w:rsidRDefault="003C0EB9">
      <w:pPr>
        <w:numPr>
          <w:ilvl w:val="0"/>
          <w:numId w:val="6"/>
        </w:numPr>
        <w:ind w:right="4" w:hanging="360"/>
      </w:pPr>
      <w:r>
        <w:t xml:space="preserve">Serving on editorial boards of journals or books. </w:t>
      </w:r>
    </w:p>
    <w:p w14:paraId="124EA01E" w14:textId="77777777" w:rsidR="005D1823" w:rsidRDefault="003C0EB9">
      <w:pPr>
        <w:numPr>
          <w:ilvl w:val="0"/>
          <w:numId w:val="6"/>
        </w:numPr>
        <w:ind w:right="4" w:hanging="360"/>
      </w:pPr>
      <w:r>
        <w:t xml:space="preserve">Communication of research results to the general public. </w:t>
      </w:r>
    </w:p>
    <w:p w14:paraId="6D6165B4" w14:textId="77777777" w:rsidR="005D1823" w:rsidRDefault="003C0EB9">
      <w:pPr>
        <w:numPr>
          <w:ilvl w:val="0"/>
          <w:numId w:val="6"/>
        </w:numPr>
        <w:ind w:right="4" w:hanging="360"/>
      </w:pPr>
      <w:r>
        <w:t xml:space="preserve">Organizing national or international symposia or workshops.   </w:t>
      </w:r>
    </w:p>
    <w:p w14:paraId="4C879D2E" w14:textId="77777777" w:rsidR="005D1823" w:rsidRDefault="003C0EB9">
      <w:pPr>
        <w:spacing w:after="0" w:line="259" w:lineRule="auto"/>
        <w:ind w:left="1081" w:firstLine="0"/>
      </w:pPr>
      <w:r>
        <w:t xml:space="preserve"> </w:t>
      </w:r>
    </w:p>
    <w:p w14:paraId="09A5D20B" w14:textId="77777777" w:rsidR="005D1823" w:rsidRDefault="003C0EB9">
      <w:pPr>
        <w:pStyle w:val="Heading2"/>
        <w:ind w:left="356"/>
      </w:pPr>
      <w:r>
        <w:t>4.6</w:t>
      </w:r>
      <w:r>
        <w:rPr>
          <w:rFonts w:ascii="Arial" w:eastAsia="Arial" w:hAnsi="Arial" w:cs="Arial"/>
        </w:rPr>
        <w:t xml:space="preserve"> </w:t>
      </w:r>
      <w:r>
        <w:t xml:space="preserve">Indicators of Excellence in Service includes, but is not limited to: </w:t>
      </w:r>
    </w:p>
    <w:p w14:paraId="3977ABCA" w14:textId="77777777" w:rsidR="005D1823" w:rsidRDefault="003C0EB9">
      <w:pPr>
        <w:numPr>
          <w:ilvl w:val="0"/>
          <w:numId w:val="7"/>
        </w:numPr>
        <w:ind w:right="4" w:hanging="360"/>
      </w:pPr>
      <w:r>
        <w:t xml:space="preserve">Serving in an administrative leadership role at Texas A&amp;M University (e.g., Speaker, Faculty Senate).  </w:t>
      </w:r>
    </w:p>
    <w:p w14:paraId="3F063C46" w14:textId="77777777" w:rsidR="005D1823" w:rsidRDefault="003C0EB9">
      <w:pPr>
        <w:numPr>
          <w:ilvl w:val="0"/>
          <w:numId w:val="7"/>
        </w:numPr>
        <w:ind w:right="4" w:hanging="360"/>
      </w:pPr>
      <w:r>
        <w:t xml:space="preserve">Evidence of excellence in professional service to the local community and public at large. </w:t>
      </w:r>
    </w:p>
    <w:p w14:paraId="6D4325BD" w14:textId="77777777" w:rsidR="005D1823" w:rsidRDefault="003C0EB9">
      <w:pPr>
        <w:numPr>
          <w:ilvl w:val="0"/>
          <w:numId w:val="7"/>
        </w:numPr>
        <w:ind w:right="4" w:hanging="360"/>
      </w:pPr>
      <w:r>
        <w:lastRenderedPageBreak/>
        <w:t xml:space="preserve">Chairing a major standing or ad hoc Texas A&amp;M University committee.  </w:t>
      </w:r>
    </w:p>
    <w:p w14:paraId="440BBB78" w14:textId="21791989" w:rsidR="005D1823" w:rsidRDefault="003C0EB9">
      <w:pPr>
        <w:numPr>
          <w:ilvl w:val="0"/>
          <w:numId w:val="7"/>
        </w:numPr>
        <w:ind w:right="4" w:hanging="360"/>
      </w:pPr>
      <w:r>
        <w:t>Shouldering a pivotal leadership service role</w:t>
      </w:r>
      <w:r w:rsidR="00FB140A">
        <w:t>, especially if</w:t>
      </w:r>
      <w:r>
        <w:t xml:space="preserve"> without reduction in other responsibilities </w:t>
      </w:r>
    </w:p>
    <w:p w14:paraId="1123D585" w14:textId="77777777" w:rsidR="005D1823" w:rsidRDefault="003C0EB9">
      <w:pPr>
        <w:numPr>
          <w:ilvl w:val="0"/>
          <w:numId w:val="7"/>
        </w:numPr>
        <w:ind w:right="4" w:hanging="360"/>
      </w:pPr>
      <w:r>
        <w:t xml:space="preserve">Serving on a governmental commission, task force, or board.  </w:t>
      </w:r>
    </w:p>
    <w:p w14:paraId="26C30A83" w14:textId="77777777" w:rsidR="005D1823" w:rsidRDefault="003C0EB9">
      <w:pPr>
        <w:numPr>
          <w:ilvl w:val="0"/>
          <w:numId w:val="7"/>
        </w:numPr>
        <w:ind w:right="4" w:hanging="360"/>
      </w:pPr>
      <w:r>
        <w:t xml:space="preserve">Serving as program chair or in a similar position at a national or international meeting.  </w:t>
      </w:r>
    </w:p>
    <w:p w14:paraId="23770A19" w14:textId="77777777" w:rsidR="005D1823" w:rsidRDefault="003C0EB9">
      <w:pPr>
        <w:numPr>
          <w:ilvl w:val="0"/>
          <w:numId w:val="7"/>
        </w:numPr>
        <w:ind w:right="4" w:hanging="360"/>
      </w:pPr>
      <w:r>
        <w:t xml:space="preserve">Serving as editor of editorial board of a peer-reviewed scientific journal.  </w:t>
      </w:r>
    </w:p>
    <w:p w14:paraId="28CB3800" w14:textId="77777777" w:rsidR="005D1823" w:rsidRDefault="003C0EB9">
      <w:pPr>
        <w:numPr>
          <w:ilvl w:val="0"/>
          <w:numId w:val="7"/>
        </w:numPr>
        <w:ind w:right="4" w:hanging="360"/>
      </w:pPr>
      <w:r>
        <w:t xml:space="preserve">Contributing support letters for tenure and promotion of colleagues at other institutions.   </w:t>
      </w:r>
    </w:p>
    <w:p w14:paraId="17302674" w14:textId="77777777" w:rsidR="005D1823" w:rsidRDefault="003C0EB9">
      <w:pPr>
        <w:numPr>
          <w:ilvl w:val="0"/>
          <w:numId w:val="7"/>
        </w:numPr>
        <w:ind w:right="4" w:hanging="360"/>
      </w:pPr>
      <w:r>
        <w:t xml:space="preserve">Performance of service to the larger scientific community through leadership in professional societies. </w:t>
      </w:r>
    </w:p>
    <w:p w14:paraId="2D3FEA70" w14:textId="77777777" w:rsidR="005D1823" w:rsidRDefault="003C0EB9">
      <w:pPr>
        <w:numPr>
          <w:ilvl w:val="0"/>
          <w:numId w:val="7"/>
        </w:numPr>
        <w:spacing w:after="146"/>
        <w:ind w:right="4" w:hanging="360"/>
      </w:pPr>
      <w:r>
        <w:t xml:space="preserve">Leadership position on national advisory boards. </w:t>
      </w:r>
    </w:p>
    <w:p w14:paraId="08118A4E" w14:textId="77777777" w:rsidR="005D1823" w:rsidRDefault="003C0EB9">
      <w:pPr>
        <w:spacing w:after="0" w:line="259" w:lineRule="auto"/>
        <w:ind w:left="721" w:firstLine="0"/>
      </w:pPr>
      <w:r>
        <w:rPr>
          <w:rFonts w:cs="Calibri"/>
          <w:b/>
        </w:rPr>
        <w:t xml:space="preserve"> </w:t>
      </w:r>
    </w:p>
    <w:p w14:paraId="23F38DFB" w14:textId="77777777" w:rsidR="005D1823" w:rsidRDefault="003C0EB9">
      <w:pPr>
        <w:spacing w:after="315" w:line="259" w:lineRule="auto"/>
        <w:ind w:left="721" w:firstLine="0"/>
      </w:pPr>
      <w:r>
        <w:rPr>
          <w:rFonts w:cs="Calibri"/>
          <w:b/>
        </w:rPr>
        <w:t xml:space="preserve"> </w:t>
      </w:r>
    </w:p>
    <w:p w14:paraId="519AA023" w14:textId="77777777" w:rsidR="005D1823" w:rsidRDefault="003C0EB9">
      <w:pPr>
        <w:pStyle w:val="Heading1"/>
        <w:ind w:left="356"/>
      </w:pPr>
      <w:r>
        <w:t xml:space="preserve">Section 5: Annual Review   </w:t>
      </w:r>
    </w:p>
    <w:p w14:paraId="33FE4345" w14:textId="77777777" w:rsidR="005D1823" w:rsidRDefault="003C0EB9">
      <w:pPr>
        <w:ind w:right="4"/>
      </w:pPr>
      <w:r>
        <w:t xml:space="preserve">Annual reviews of performance are to be conducted in accordance with Section (2.4) of </w:t>
      </w:r>
      <w:hyperlink r:id="rId26">
        <w:r>
          <w:rPr>
            <w:u w:val="single" w:color="000000"/>
          </w:rPr>
          <w:t>University Rule 12.01.99.M1</w:t>
        </w:r>
      </w:hyperlink>
      <w:hyperlink r:id="rId27">
        <w:r>
          <w:t xml:space="preserve"> </w:t>
        </w:r>
      </w:hyperlink>
      <w:r>
        <w:t xml:space="preserve">(University Statement on Academic Freedom, Responsibility, Tenure, and Promotion).   </w:t>
      </w:r>
    </w:p>
    <w:p w14:paraId="3C677EC4" w14:textId="77777777" w:rsidR="005D1823" w:rsidRDefault="003C0EB9">
      <w:pPr>
        <w:spacing w:after="15" w:line="259" w:lineRule="auto"/>
        <w:ind w:left="721" w:firstLine="0"/>
      </w:pPr>
      <w:r>
        <w:t xml:space="preserve"> </w:t>
      </w:r>
    </w:p>
    <w:p w14:paraId="6976F0BB" w14:textId="77777777" w:rsidR="005D1823" w:rsidRDefault="003C0EB9">
      <w:pPr>
        <w:ind w:right="4"/>
      </w:pPr>
      <w:r>
        <w:t xml:space="preserve">All University-employed faculty members, whether tenured, tenure-track, or non-tenure track, must have an annual written review, for which the department heads, directors, or supervisors are responsible.   </w:t>
      </w:r>
    </w:p>
    <w:p w14:paraId="12FE135F" w14:textId="77777777" w:rsidR="005D1823" w:rsidRDefault="003C0EB9">
      <w:pPr>
        <w:spacing w:after="20" w:line="259" w:lineRule="auto"/>
        <w:ind w:left="721" w:firstLine="0"/>
      </w:pPr>
      <w:r>
        <w:t xml:space="preserve"> </w:t>
      </w:r>
    </w:p>
    <w:p w14:paraId="3839EA65" w14:textId="77777777" w:rsidR="005D1823" w:rsidRDefault="003C0EB9">
      <w:pPr>
        <w:ind w:right="4"/>
      </w:pPr>
      <w:r>
        <w:rPr>
          <w:rFonts w:cs="Calibri"/>
          <w:i/>
        </w:rPr>
        <w:t>Process:</w:t>
      </w:r>
      <w:r>
        <w:t xml:space="preserve"> The Department Head conducts the annual review process in concert with the Executive Committee of the Department, and, for promotable faculty, with input from the Tenure and Promotion Committee. The evaluation is conducted during the Spring Semester of each year and encompasses the calendar year January </w:t>
      </w:r>
      <w:r>
        <w:rPr>
          <w:rFonts w:cs="Calibri"/>
        </w:rPr>
        <w:t>–</w:t>
      </w:r>
      <w:r>
        <w:t xml:space="preserve"> December of the previous year.   </w:t>
      </w:r>
    </w:p>
    <w:p w14:paraId="20E1F817" w14:textId="77777777" w:rsidR="005D1823" w:rsidRDefault="003C0EB9">
      <w:pPr>
        <w:spacing w:after="15" w:line="259" w:lineRule="auto"/>
        <w:ind w:left="721" w:firstLine="0"/>
      </w:pPr>
      <w:r>
        <w:t xml:space="preserve"> </w:t>
      </w:r>
    </w:p>
    <w:p w14:paraId="17F74434" w14:textId="77777777" w:rsidR="005D1823" w:rsidRDefault="003C0EB9">
      <w:pPr>
        <w:ind w:right="4"/>
      </w:pPr>
      <w:r>
        <w:t xml:space="preserve">In terms of annual reviews for budgeted joint appointments, department heads, directors, or supervisors will collaborate with the heads, directors, or supervisors of the appropriate units to develop accurate reviews, (Section 2.4.4 of </w:t>
      </w:r>
    </w:p>
    <w:p w14:paraId="04003B10" w14:textId="77777777" w:rsidR="005D1823" w:rsidRDefault="003C0EB9">
      <w:pPr>
        <w:ind w:right="4"/>
      </w:pPr>
      <w:hyperlink r:id="rId28">
        <w:r>
          <w:rPr>
            <w:u w:val="single" w:color="000000"/>
          </w:rPr>
          <w:t>University Rule 12.01.99.M1</w:t>
        </w:r>
      </w:hyperlink>
      <w:hyperlink r:id="rId29">
        <w:r>
          <w:t xml:space="preserve"> </w:t>
        </w:r>
      </w:hyperlink>
      <w:r>
        <w:t xml:space="preserve">University Statement on Academic Freedom, Responsibility, Tenure and Promotion).   </w:t>
      </w:r>
    </w:p>
    <w:p w14:paraId="17E682D2" w14:textId="77777777" w:rsidR="005D1823" w:rsidRDefault="003C0EB9">
      <w:pPr>
        <w:spacing w:after="20" w:line="259" w:lineRule="auto"/>
        <w:ind w:left="721" w:firstLine="0"/>
      </w:pPr>
      <w:r>
        <w:t xml:space="preserve"> </w:t>
      </w:r>
    </w:p>
    <w:p w14:paraId="01357A00" w14:textId="77777777" w:rsidR="005D1823" w:rsidRDefault="003C0EB9">
      <w:pPr>
        <w:ind w:right="4"/>
      </w:pPr>
      <w:r>
        <w:t xml:space="preserve">In the case of budgeted joint appointments, heads, directors and supervisors will collaborate to provide one annual review letter for the faculty member.  </w:t>
      </w:r>
    </w:p>
    <w:p w14:paraId="7B95FEF4" w14:textId="77777777" w:rsidR="005D1823" w:rsidRDefault="003C0EB9">
      <w:pPr>
        <w:spacing w:after="20" w:line="259" w:lineRule="auto"/>
        <w:ind w:left="721" w:firstLine="0"/>
      </w:pPr>
      <w:r>
        <w:t xml:space="preserve"> </w:t>
      </w:r>
    </w:p>
    <w:p w14:paraId="3FBF53A8" w14:textId="3BB3E628" w:rsidR="001D694C" w:rsidRDefault="003C0EB9" w:rsidP="00AE248C">
      <w:pPr>
        <w:ind w:right="4"/>
      </w:pPr>
      <w:r>
        <w:t xml:space="preserve">Annual reviews for faculty whose area of responsibility is administrative (e.g., associate deans, department heads, or directors) will be conducted by their immediate supervisor.  For a faculty member with an administrative appointment that has faculty responsibilities such as teaching and/or research, the immediate supervisor is required to solicit </w:t>
      </w:r>
      <w:r>
        <w:rPr>
          <w:rFonts w:cs="Calibri"/>
        </w:rPr>
        <w:t xml:space="preserve">feedback from the department head, director, or supervisor regarding the faculty member’s performance in those areas.  </w:t>
      </w:r>
      <w:r>
        <w:t xml:space="preserve">Faculty with administrative appointments equal to or less than 25% effort are to be evaluated annually by their department head, director, or supervisor with input from the supervisor of the administrative appointment.   </w:t>
      </w:r>
    </w:p>
    <w:p w14:paraId="1EC1FAA4" w14:textId="2731E232" w:rsidR="005D1823" w:rsidRDefault="003C0EB9">
      <w:pPr>
        <w:spacing w:after="127" w:line="259" w:lineRule="auto"/>
        <w:ind w:left="361" w:firstLine="0"/>
      </w:pPr>
      <w:r>
        <w:t xml:space="preserve"> </w:t>
      </w:r>
    </w:p>
    <w:p w14:paraId="12B9318F" w14:textId="77777777" w:rsidR="005D1823" w:rsidRDefault="003C0EB9">
      <w:pPr>
        <w:pStyle w:val="Heading2"/>
        <w:ind w:left="356"/>
      </w:pPr>
      <w:r>
        <w:t>5.1</w:t>
      </w:r>
      <w:r>
        <w:rPr>
          <w:rFonts w:ascii="Arial" w:eastAsia="Arial" w:hAnsi="Arial" w:cs="Arial"/>
        </w:rPr>
        <w:t xml:space="preserve"> </w:t>
      </w:r>
      <w:r>
        <w:t xml:space="preserve">Purpose </w:t>
      </w:r>
    </w:p>
    <w:p w14:paraId="65AEF577" w14:textId="77777777" w:rsidR="005D1823" w:rsidRDefault="003C0EB9">
      <w:pPr>
        <w:numPr>
          <w:ilvl w:val="0"/>
          <w:numId w:val="8"/>
        </w:numPr>
        <w:spacing w:after="0" w:line="266" w:lineRule="auto"/>
        <w:ind w:right="2" w:hanging="360"/>
      </w:pPr>
      <w:r>
        <w:rPr>
          <w:rFonts w:cs="Calibri"/>
        </w:rPr>
        <w:t>Provide evaluative feedback regarding the faculty member’s performance relative to the expectations and norms for the individual’s faculty position.</w:t>
      </w:r>
      <w:r>
        <w:t xml:space="preserve"> </w:t>
      </w:r>
    </w:p>
    <w:p w14:paraId="040BD11E" w14:textId="77777777" w:rsidR="005D1823" w:rsidRDefault="003C0EB9">
      <w:pPr>
        <w:numPr>
          <w:ilvl w:val="0"/>
          <w:numId w:val="8"/>
        </w:numPr>
        <w:spacing w:after="54" w:line="266" w:lineRule="auto"/>
        <w:ind w:right="2" w:hanging="360"/>
      </w:pPr>
      <w:r>
        <w:rPr>
          <w:rFonts w:cs="Calibri"/>
        </w:rPr>
        <w:t xml:space="preserve">Provide developmental feedback regarding areas where the faculty member’s contributions may be enhanced </w:t>
      </w:r>
      <w:r>
        <w:t xml:space="preserve">and/or improved. </w:t>
      </w:r>
    </w:p>
    <w:p w14:paraId="54621B2D" w14:textId="77777777" w:rsidR="005D1823" w:rsidRDefault="003C0EB9">
      <w:pPr>
        <w:numPr>
          <w:ilvl w:val="0"/>
          <w:numId w:val="8"/>
        </w:numPr>
        <w:spacing w:after="123"/>
        <w:ind w:right="2" w:hanging="360"/>
      </w:pPr>
      <w:r>
        <w:lastRenderedPageBreak/>
        <w:t xml:space="preserve">In consultation with the Department Tenure and Promotion Committee, provide feedback regarding progress toward promotion and/or tenure as relevant.   </w:t>
      </w:r>
    </w:p>
    <w:p w14:paraId="52B97ECA" w14:textId="7A9201D8" w:rsidR="005D1823" w:rsidRDefault="003C0EB9">
      <w:pPr>
        <w:spacing w:after="172"/>
        <w:ind w:left="1306" w:right="4"/>
      </w:pPr>
      <w:r>
        <w:t xml:space="preserve">See </w:t>
      </w:r>
      <w:hyperlink r:id="rId30">
        <w:r>
          <w:rPr>
            <w:u w:val="single" w:color="000000"/>
          </w:rPr>
          <w:t>University Rule 12.01.99.M2.</w:t>
        </w:r>
      </w:hyperlink>
      <w:hyperlink r:id="rId31">
        <w:r>
          <w:t xml:space="preserve"> </w:t>
        </w:r>
      </w:hyperlink>
      <w:r>
        <w:t xml:space="preserve">For tenured associate professors, the process should be used to identify the faculty member's progress toward promotion to professor. For professors and tenured associate </w:t>
      </w:r>
      <w:r w:rsidR="00F91327">
        <w:t>professors,</w:t>
      </w:r>
      <w:r>
        <w:t xml:space="preserve"> the annual review should also be part of the ongoing process of communication between the faculty member and the institution in which both institutional and individual goals and programmatic directions are clarified, the contributions of the faculty member toward meeting those goals are evaluated and the development of the faculty member and the University is enhanced. In all cases, the annual review shall serve as the primary documentation for evaluation of job performance in the areas of assigned responsibility and for merit salary increases. </w:t>
      </w:r>
    </w:p>
    <w:p w14:paraId="3141E55F" w14:textId="77777777" w:rsidR="005D1823" w:rsidRDefault="003C0EB9">
      <w:pPr>
        <w:numPr>
          <w:ilvl w:val="0"/>
          <w:numId w:val="8"/>
        </w:numPr>
        <w:ind w:right="2" w:hanging="360"/>
      </w:pPr>
      <w:r>
        <w:t xml:space="preserve">Create a sound and logical basis for merit compensation recommendations. </w:t>
      </w:r>
    </w:p>
    <w:p w14:paraId="48094D1F" w14:textId="77777777" w:rsidR="005D1823" w:rsidRDefault="003C0EB9">
      <w:pPr>
        <w:spacing w:after="121" w:line="259" w:lineRule="auto"/>
        <w:ind w:left="1441" w:firstLine="0"/>
      </w:pPr>
      <w:r>
        <w:t xml:space="preserve"> </w:t>
      </w:r>
    </w:p>
    <w:p w14:paraId="27E06F69" w14:textId="77777777" w:rsidR="005D1823" w:rsidRDefault="003C0EB9">
      <w:pPr>
        <w:pStyle w:val="Heading3"/>
        <w:ind w:left="356"/>
      </w:pPr>
      <w:r>
        <w:t>5.2</w:t>
      </w:r>
      <w:r>
        <w:rPr>
          <w:rFonts w:ascii="Arial" w:eastAsia="Arial" w:hAnsi="Arial" w:cs="Arial"/>
        </w:rPr>
        <w:t xml:space="preserve"> </w:t>
      </w:r>
      <w:r>
        <w:t xml:space="preserve">Focus </w:t>
      </w:r>
    </w:p>
    <w:p w14:paraId="681EDE1E" w14:textId="77777777" w:rsidR="005D1823" w:rsidRDefault="003C0EB9">
      <w:pPr>
        <w:ind w:left="931" w:right="4"/>
      </w:pPr>
      <w:r>
        <w:rPr>
          <w:rFonts w:cs="Calibri"/>
        </w:rPr>
        <w:t xml:space="preserve">The focus of the annual review process will vary by title and rank and the stage of the individual’s career at the </w:t>
      </w:r>
      <w:r>
        <w:t xml:space="preserve">time of the review.  For tenured and tenure-track faculty, the annual review evaluates yearly performance, and where relevant, serves as an assessment of progress toward the next promotion. For academic professional track faculty (non-tenure track), the annual review evaluates performance and serves as assessment of progress towards retention and/or promotion, as applicable, section 2.4.2 of </w:t>
      </w:r>
      <w:hyperlink r:id="rId32">
        <w:r>
          <w:rPr>
            <w:u w:val="single" w:color="000000"/>
          </w:rPr>
          <w:t>University Rule 12.01.99.M2</w:t>
        </w:r>
      </w:hyperlink>
      <w:hyperlink r:id="rId33">
        <w:r>
          <w:t xml:space="preserve"> </w:t>
        </w:r>
      </w:hyperlink>
      <w:r>
        <w:t xml:space="preserve">(University Statement on Academic Freedom, Responsibility, Tenure and Promotion).  </w:t>
      </w:r>
    </w:p>
    <w:p w14:paraId="033C0FFA" w14:textId="77777777" w:rsidR="005D1823" w:rsidRDefault="003C0EB9">
      <w:pPr>
        <w:spacing w:after="127" w:line="259" w:lineRule="auto"/>
        <w:ind w:left="1441" w:firstLine="0"/>
      </w:pPr>
      <w:r>
        <w:t xml:space="preserve">  </w:t>
      </w:r>
    </w:p>
    <w:p w14:paraId="323D8C97" w14:textId="77777777" w:rsidR="005D1823" w:rsidRDefault="003C0EB9">
      <w:pPr>
        <w:pStyle w:val="Heading2"/>
        <w:ind w:left="356"/>
      </w:pPr>
      <w:r>
        <w:t>5.3</w:t>
      </w:r>
      <w:r>
        <w:rPr>
          <w:rFonts w:ascii="Arial" w:eastAsia="Arial" w:hAnsi="Arial" w:cs="Arial"/>
        </w:rPr>
        <w:t xml:space="preserve"> </w:t>
      </w:r>
      <w:r>
        <w:t xml:space="preserve">Time Period of Review </w:t>
      </w:r>
    </w:p>
    <w:p w14:paraId="7E473B1F" w14:textId="77777777" w:rsidR="005D1823" w:rsidRDefault="003C0EB9">
      <w:pPr>
        <w:spacing w:after="173"/>
        <w:ind w:left="931" w:right="4"/>
      </w:pPr>
      <w:r>
        <w:t xml:space="preserve">Annual reviews will focus on the immediately previous calendar or academic </w:t>
      </w:r>
      <w:proofErr w:type="gramStart"/>
      <w:r>
        <w:t>year, but</w:t>
      </w:r>
      <w:proofErr w:type="gramEnd"/>
      <w:r>
        <w:t xml:space="preserve"> will also include a </w:t>
      </w:r>
      <w:proofErr w:type="gramStart"/>
      <w:r>
        <w:t>three year</w:t>
      </w:r>
      <w:proofErr w:type="gramEnd"/>
      <w:r>
        <w:t xml:space="preserve"> expanded window in order to evaluate activities within the context of ongoing work.   </w:t>
      </w:r>
    </w:p>
    <w:p w14:paraId="0DB402EF" w14:textId="77777777" w:rsidR="005D1823" w:rsidRDefault="003C0EB9">
      <w:pPr>
        <w:spacing w:after="153" w:line="259" w:lineRule="auto"/>
        <w:ind w:left="936" w:firstLine="0"/>
      </w:pPr>
      <w:r>
        <w:rPr>
          <w:rFonts w:ascii="Cambria" w:eastAsia="Cambria" w:hAnsi="Cambria" w:cs="Cambria"/>
          <w:sz w:val="18"/>
        </w:rPr>
        <w:t xml:space="preserve"> </w:t>
      </w:r>
    </w:p>
    <w:p w14:paraId="4DE1493D" w14:textId="77777777" w:rsidR="005D1823" w:rsidRDefault="003C0EB9">
      <w:pPr>
        <w:pStyle w:val="Heading2"/>
        <w:ind w:left="356"/>
      </w:pPr>
      <w:r>
        <w:t>5.4</w:t>
      </w:r>
      <w:r>
        <w:rPr>
          <w:rFonts w:ascii="Arial" w:eastAsia="Arial" w:hAnsi="Arial" w:cs="Arial"/>
        </w:rPr>
        <w:t xml:space="preserve"> </w:t>
      </w:r>
      <w:r>
        <w:t xml:space="preserve">Ratings for Faculty Performance </w:t>
      </w:r>
    </w:p>
    <w:p w14:paraId="56C38EC3" w14:textId="77777777" w:rsidR="005D1823" w:rsidRDefault="003C0EB9">
      <w:pPr>
        <w:ind w:left="931" w:right="4"/>
      </w:pPr>
      <w:r>
        <w:t xml:space="preserve">During an annual evaluation, performance in each of the areas of faculty performance (see Section 4.) will be </w:t>
      </w:r>
      <w:r>
        <w:rPr>
          <w:rFonts w:cs="Calibri"/>
        </w:rPr>
        <w:t xml:space="preserve">rated using five categories: “Unsatisfactory,” “Needs Improvement,” “Meets Expectations,” Exceeds </w:t>
      </w:r>
    </w:p>
    <w:p w14:paraId="2748B45F" w14:textId="77777777" w:rsidR="005D1823" w:rsidRDefault="003C0EB9">
      <w:pPr>
        <w:ind w:left="931" w:right="4"/>
      </w:pPr>
      <w:r>
        <w:rPr>
          <w:rFonts w:cs="Calibri"/>
        </w:rPr>
        <w:t>Expectations,” “Outstanding.”  In each performan</w:t>
      </w:r>
      <w:r>
        <w:t xml:space="preserve">ce area, ratings are supported by the Indicators of Effectiveness and Excellence for that area, as defined in Section 4.  </w:t>
      </w:r>
    </w:p>
    <w:p w14:paraId="2B3C58B6" w14:textId="77777777" w:rsidR="005D1823" w:rsidRDefault="003C0EB9">
      <w:pPr>
        <w:spacing w:after="34" w:line="259" w:lineRule="auto"/>
        <w:ind w:left="1441" w:firstLine="0"/>
      </w:pPr>
      <w:r>
        <w:t xml:space="preserve"> </w:t>
      </w:r>
    </w:p>
    <w:p w14:paraId="4523FA6F" w14:textId="77777777" w:rsidR="005D1823" w:rsidRDefault="003C0EB9">
      <w:pPr>
        <w:tabs>
          <w:tab w:val="center" w:pos="1081"/>
          <w:tab w:val="center" w:pos="4728"/>
        </w:tabs>
        <w:spacing w:after="26"/>
        <w:ind w:left="0" w:firstLine="0"/>
      </w:pPr>
      <w:r>
        <w:rPr>
          <w:rFonts w:cs="Calibri"/>
        </w:rPr>
        <w:tab/>
      </w:r>
      <w:r>
        <w:t xml:space="preserve"> </w:t>
      </w:r>
      <w:r>
        <w:tab/>
      </w:r>
      <w:r>
        <w:rPr>
          <w:rFonts w:cs="Calibri"/>
          <w:i/>
          <w:u w:val="single" w:color="000000"/>
        </w:rPr>
        <w:t>Unsatisfactory</w:t>
      </w:r>
      <w:r>
        <w:t xml:space="preserve"> </w:t>
      </w:r>
      <w:r>
        <w:rPr>
          <w:rFonts w:cs="Calibri"/>
        </w:rPr>
        <w:t>–</w:t>
      </w:r>
      <w:r>
        <w:t xml:space="preserve"> absence of significant indicators of </w:t>
      </w:r>
      <w:r>
        <w:rPr>
          <w:rFonts w:cs="Calibri"/>
          <w:b/>
        </w:rPr>
        <w:t>effectiveness</w:t>
      </w:r>
      <w:r>
        <w:rPr>
          <w:rFonts w:cs="Calibri"/>
          <w:b/>
          <w:i/>
        </w:rPr>
        <w:t xml:space="preserve"> </w:t>
      </w:r>
    </w:p>
    <w:p w14:paraId="104B56A2" w14:textId="77777777" w:rsidR="005D1823" w:rsidRDefault="003C0EB9">
      <w:pPr>
        <w:tabs>
          <w:tab w:val="center" w:pos="1441"/>
          <w:tab w:val="center" w:pos="4377"/>
        </w:tabs>
        <w:spacing w:after="26"/>
        <w:ind w:left="0" w:firstLine="0"/>
      </w:pPr>
      <w:r>
        <w:rPr>
          <w:rFonts w:cs="Calibri"/>
        </w:rPr>
        <w:tab/>
      </w:r>
      <w:r>
        <w:rPr>
          <w:rFonts w:cs="Calibri"/>
          <w:i/>
        </w:rPr>
        <w:t xml:space="preserve"> </w:t>
      </w:r>
      <w:r>
        <w:rPr>
          <w:rFonts w:cs="Calibri"/>
          <w:i/>
        </w:rPr>
        <w:tab/>
      </w:r>
      <w:r>
        <w:rPr>
          <w:rFonts w:cs="Calibri"/>
          <w:i/>
          <w:u w:val="single" w:color="000000"/>
        </w:rPr>
        <w:t>Needs Improvement</w:t>
      </w:r>
      <w:r>
        <w:t xml:space="preserve"> </w:t>
      </w:r>
      <w:r>
        <w:rPr>
          <w:rFonts w:cs="Calibri"/>
        </w:rPr>
        <w:t>–</w:t>
      </w:r>
      <w:r>
        <w:t xml:space="preserve"> minimal indicators of </w:t>
      </w:r>
      <w:r>
        <w:rPr>
          <w:rFonts w:cs="Calibri"/>
          <w:b/>
        </w:rPr>
        <w:t xml:space="preserve">effectiveness </w:t>
      </w:r>
    </w:p>
    <w:p w14:paraId="35474451" w14:textId="77777777" w:rsidR="005D1823" w:rsidRDefault="003C0EB9">
      <w:pPr>
        <w:tabs>
          <w:tab w:val="center" w:pos="1441"/>
          <w:tab w:val="center" w:pos="4517"/>
        </w:tabs>
        <w:ind w:left="0" w:firstLine="0"/>
      </w:pPr>
      <w:r>
        <w:rPr>
          <w:rFonts w:cs="Calibri"/>
        </w:rPr>
        <w:tab/>
      </w:r>
      <w:r>
        <w:t xml:space="preserve"> </w:t>
      </w:r>
      <w:r>
        <w:tab/>
      </w:r>
      <w:r>
        <w:rPr>
          <w:rFonts w:cs="Calibri"/>
          <w:i/>
          <w:u w:val="single" w:color="000000"/>
        </w:rPr>
        <w:t>Meets Expectations</w:t>
      </w:r>
      <w:r>
        <w:t xml:space="preserve"> </w:t>
      </w:r>
      <w:r>
        <w:rPr>
          <w:rFonts w:cs="Calibri"/>
        </w:rPr>
        <w:t>–</w:t>
      </w:r>
      <w:r>
        <w:t xml:space="preserve"> appropriate indicators of </w:t>
      </w:r>
      <w:r>
        <w:rPr>
          <w:rFonts w:cs="Calibri"/>
          <w:b/>
        </w:rPr>
        <w:t xml:space="preserve">effectiveness </w:t>
      </w:r>
    </w:p>
    <w:p w14:paraId="0A14AB80" w14:textId="77777777" w:rsidR="005D1823" w:rsidRDefault="003C0EB9">
      <w:pPr>
        <w:spacing w:after="26"/>
        <w:ind w:left="1811" w:right="4"/>
      </w:pPr>
      <w:r>
        <w:rPr>
          <w:rFonts w:cs="Calibri"/>
          <w:i/>
          <w:u w:val="single" w:color="000000"/>
        </w:rPr>
        <w:t>Exceeds Expectations</w:t>
      </w:r>
      <w:r>
        <w:t xml:space="preserve"> </w:t>
      </w:r>
      <w:r>
        <w:rPr>
          <w:rFonts w:cs="Calibri"/>
        </w:rPr>
        <w:t>–</w:t>
      </w:r>
      <w:r>
        <w:t xml:space="preserve"> ample indicators of both </w:t>
      </w:r>
      <w:r>
        <w:rPr>
          <w:rFonts w:cs="Calibri"/>
          <w:b/>
        </w:rPr>
        <w:t>effectiveness</w:t>
      </w:r>
      <w:r>
        <w:t xml:space="preserve"> and </w:t>
      </w:r>
      <w:r>
        <w:rPr>
          <w:rFonts w:cs="Calibri"/>
          <w:b/>
        </w:rPr>
        <w:t>excellence</w:t>
      </w:r>
      <w:r>
        <w:t xml:space="preserve">  </w:t>
      </w:r>
    </w:p>
    <w:p w14:paraId="5603F955" w14:textId="77777777" w:rsidR="005D1823" w:rsidRDefault="003C0EB9">
      <w:pPr>
        <w:tabs>
          <w:tab w:val="center" w:pos="3826"/>
          <w:tab w:val="center" w:pos="6123"/>
        </w:tabs>
        <w:ind w:left="0" w:firstLine="0"/>
      </w:pPr>
      <w:r>
        <w:rPr>
          <w:rFonts w:cs="Calibri"/>
        </w:rPr>
        <w:tab/>
      </w:r>
      <w:r>
        <w:rPr>
          <w:rFonts w:cs="Calibri"/>
          <w:i/>
          <w:u w:val="single" w:color="000000"/>
        </w:rPr>
        <w:t>Outstanding</w:t>
      </w:r>
      <w:r>
        <w:t xml:space="preserve"> </w:t>
      </w:r>
      <w:r>
        <w:rPr>
          <w:rFonts w:cs="Calibri"/>
        </w:rPr>
        <w:t>–</w:t>
      </w:r>
      <w:r>
        <w:t xml:space="preserve"> strong indicators of </w:t>
      </w:r>
      <w:r>
        <w:rPr>
          <w:rFonts w:cs="Calibri"/>
          <w:b/>
        </w:rPr>
        <w:t>excellence</w:t>
      </w:r>
      <w:r>
        <w:rPr>
          <w:rFonts w:cs="Calibri"/>
          <w:i/>
        </w:rPr>
        <w:t xml:space="preserve"> </w:t>
      </w:r>
      <w:r>
        <w:rPr>
          <w:rFonts w:cs="Calibri"/>
          <w:i/>
        </w:rPr>
        <w:tab/>
      </w:r>
      <w:r>
        <w:rPr>
          <w:rFonts w:cs="Calibri"/>
          <w:b/>
        </w:rPr>
        <w:t xml:space="preserve"> </w:t>
      </w:r>
    </w:p>
    <w:p w14:paraId="718115AE" w14:textId="77777777" w:rsidR="005D1823" w:rsidRDefault="003C0EB9">
      <w:pPr>
        <w:spacing w:after="128" w:line="259" w:lineRule="auto"/>
        <w:ind w:left="361" w:firstLine="0"/>
      </w:pPr>
      <w:r>
        <w:t xml:space="preserve"> </w:t>
      </w:r>
    </w:p>
    <w:p w14:paraId="0029B252" w14:textId="77777777" w:rsidR="005D1823" w:rsidRDefault="003C0EB9">
      <w:pPr>
        <w:pStyle w:val="Heading2"/>
        <w:ind w:left="356"/>
      </w:pPr>
      <w:r>
        <w:t>5.5</w:t>
      </w:r>
      <w:r>
        <w:rPr>
          <w:rFonts w:ascii="Arial" w:eastAsia="Arial" w:hAnsi="Arial" w:cs="Arial"/>
        </w:rPr>
        <w:t xml:space="preserve"> </w:t>
      </w:r>
      <w:r>
        <w:t xml:space="preserve">Required Components for Annual Review </w:t>
      </w:r>
    </w:p>
    <w:p w14:paraId="5AAA9BE0" w14:textId="77777777" w:rsidR="005D1823" w:rsidRDefault="003C0EB9">
      <w:pPr>
        <w:ind w:left="931" w:right="4"/>
      </w:pPr>
      <w:r>
        <w:t xml:space="preserve">The annual review must contain the following components in accordance with Section 2.4.5 of </w:t>
      </w:r>
      <w:hyperlink r:id="rId34">
        <w:r>
          <w:rPr>
            <w:u w:val="single" w:color="000000"/>
          </w:rPr>
          <w:t>University Rule</w:t>
        </w:r>
      </w:hyperlink>
      <w:hyperlink r:id="rId35">
        <w:r>
          <w:t xml:space="preserve"> </w:t>
        </w:r>
      </w:hyperlink>
    </w:p>
    <w:p w14:paraId="259BB874" w14:textId="77777777" w:rsidR="00E67AB3" w:rsidRDefault="003C0EB9" w:rsidP="00E67AB3">
      <w:pPr>
        <w:ind w:left="931" w:right="4"/>
      </w:pPr>
      <w:hyperlink r:id="rId36">
        <w:r>
          <w:rPr>
            <w:u w:val="single" w:color="000000"/>
          </w:rPr>
          <w:t>12.01.99.M2</w:t>
        </w:r>
      </w:hyperlink>
      <w:hyperlink r:id="rId37">
        <w:r>
          <w:t>,</w:t>
        </w:r>
      </w:hyperlink>
      <w:r>
        <w:t xml:space="preserve"> (University Statement on Academic Freedom, Responsibility, Tenure and Promotion). </w:t>
      </w:r>
    </w:p>
    <w:p w14:paraId="36E0634E" w14:textId="77777777" w:rsidR="00E67AB3" w:rsidRDefault="00E67AB3" w:rsidP="00E67AB3">
      <w:pPr>
        <w:ind w:left="931" w:right="4"/>
      </w:pPr>
    </w:p>
    <w:p w14:paraId="7EC2C421" w14:textId="62000C2F" w:rsidR="005D1823" w:rsidRDefault="003C0EB9" w:rsidP="00E67AB3">
      <w:pPr>
        <w:ind w:left="931" w:right="4"/>
      </w:pPr>
      <w:r>
        <w:rPr>
          <w:rFonts w:ascii="Cambria" w:eastAsia="Cambria" w:hAnsi="Cambria" w:cs="Cambria"/>
          <w:sz w:val="24"/>
        </w:rPr>
        <w:lastRenderedPageBreak/>
        <w:t>5.5.1</w:t>
      </w:r>
      <w:r>
        <w:rPr>
          <w:rFonts w:ascii="Arial" w:eastAsia="Arial" w:hAnsi="Arial" w:cs="Arial"/>
          <w:sz w:val="24"/>
        </w:rPr>
        <w:t xml:space="preserve"> </w:t>
      </w:r>
      <w:r>
        <w:rPr>
          <w:rFonts w:ascii="Cambria" w:eastAsia="Cambria" w:hAnsi="Cambria" w:cs="Cambria"/>
          <w:sz w:val="24"/>
        </w:rPr>
        <w:t xml:space="preserve">Annual Report of Faculty Member’s Activities   </w:t>
      </w:r>
    </w:p>
    <w:p w14:paraId="10EB2C1D" w14:textId="3A185B7E" w:rsidR="005D1823" w:rsidRDefault="003C0EB9">
      <w:pPr>
        <w:spacing w:after="247"/>
        <w:ind w:left="1091" w:right="4"/>
      </w:pPr>
      <w:r>
        <w:t>Each year, each faculty member must submit a CV and an annual report in Faculty 180 outlining activities within each of their assigned areas of responsibility.  In the report, faculty members should point out the status of long</w:t>
      </w:r>
      <w:r w:rsidR="00A002DE">
        <w:t>-</w:t>
      </w:r>
      <w:r>
        <w:t xml:space="preserve">term projects, set the context in which annual activities have occurred, and state short-term and long-term goals.  </w:t>
      </w:r>
    </w:p>
    <w:p w14:paraId="29080D42" w14:textId="77777777" w:rsidR="005D1823" w:rsidRDefault="003C0EB9">
      <w:pPr>
        <w:numPr>
          <w:ilvl w:val="0"/>
          <w:numId w:val="9"/>
        </w:numPr>
        <w:spacing w:after="52"/>
        <w:ind w:right="4" w:hanging="360"/>
      </w:pPr>
      <w:r>
        <w:t xml:space="preserve">The report should be focused on the immediately previous calendar year but should allow a faculty member to point out the status of long-term projects and set the context for their annual activities have occurred.   </w:t>
      </w:r>
    </w:p>
    <w:p w14:paraId="34F163B6" w14:textId="77777777" w:rsidR="005D1823" w:rsidRDefault="003C0EB9">
      <w:pPr>
        <w:numPr>
          <w:ilvl w:val="0"/>
          <w:numId w:val="9"/>
        </w:numPr>
        <w:spacing w:after="29"/>
        <w:ind w:right="4" w:hanging="360"/>
      </w:pPr>
      <w:r>
        <w:t xml:space="preserve">The report should incorporate teaching, research, and service as appropriate.   </w:t>
      </w:r>
    </w:p>
    <w:p w14:paraId="2B8B0294" w14:textId="77777777" w:rsidR="005D1823" w:rsidRDefault="003C0EB9">
      <w:pPr>
        <w:numPr>
          <w:ilvl w:val="0"/>
          <w:numId w:val="9"/>
        </w:numPr>
        <w:ind w:right="4" w:hanging="360"/>
      </w:pPr>
      <w:r>
        <w:t xml:space="preserve">Faculty members must articulate their short- and long-term goals and reflect on their progress toward </w:t>
      </w:r>
      <w:r>
        <w:rPr>
          <w:rFonts w:cs="Calibri"/>
        </w:rPr>
        <w:t xml:space="preserve">last year’s goals.  </w:t>
      </w:r>
      <w:r>
        <w:t xml:space="preserve"> </w:t>
      </w:r>
    </w:p>
    <w:p w14:paraId="0EEEA9DB" w14:textId="77777777" w:rsidR="005D1823" w:rsidRDefault="003C0EB9">
      <w:pPr>
        <w:spacing w:after="20" w:line="259" w:lineRule="auto"/>
        <w:ind w:left="361" w:firstLine="0"/>
      </w:pPr>
      <w:r>
        <w:t xml:space="preserve"> </w:t>
      </w:r>
    </w:p>
    <w:p w14:paraId="74F6F1F9" w14:textId="77777777" w:rsidR="005D1823" w:rsidRDefault="003C0EB9">
      <w:pPr>
        <w:ind w:left="1091" w:right="4"/>
      </w:pPr>
      <w:r>
        <w:t xml:space="preserve">For examples see Section 2.4.3.3. of </w:t>
      </w:r>
      <w:hyperlink r:id="rId38">
        <w:r>
          <w:rPr>
            <w:u w:val="single" w:color="000000"/>
          </w:rPr>
          <w:t>University Rule 12.01.99.M2</w:t>
        </w:r>
      </w:hyperlink>
      <w:hyperlink r:id="rId39">
        <w:r>
          <w:t>,</w:t>
        </w:r>
      </w:hyperlink>
      <w:r>
        <w:t xml:space="preserve"> (University Statement on Academic Freedom,  Responsibility, Tenure and Promotion) </w:t>
      </w:r>
    </w:p>
    <w:p w14:paraId="40ADDF3C" w14:textId="77777777" w:rsidR="005D1823" w:rsidRDefault="003C0EB9">
      <w:pPr>
        <w:spacing w:after="110" w:line="259" w:lineRule="auto"/>
        <w:ind w:left="1081" w:firstLine="0"/>
      </w:pPr>
      <w:r>
        <w:t xml:space="preserve"> </w:t>
      </w:r>
    </w:p>
    <w:p w14:paraId="6959CB59" w14:textId="77777777" w:rsidR="005D1823" w:rsidRDefault="003C0EB9">
      <w:pPr>
        <w:pStyle w:val="Heading4"/>
        <w:ind w:left="356"/>
      </w:pPr>
      <w:r>
        <w:t>5.5.2</w:t>
      </w:r>
      <w:r>
        <w:rPr>
          <w:rFonts w:ascii="Arial" w:eastAsia="Arial" w:hAnsi="Arial" w:cs="Arial"/>
        </w:rPr>
        <w:t xml:space="preserve"> </w:t>
      </w:r>
      <w:r>
        <w:t xml:space="preserve">Evaluations from Department Head </w:t>
      </w:r>
    </w:p>
    <w:p w14:paraId="34DB0B45" w14:textId="77777777" w:rsidR="005D1823" w:rsidRDefault="003C0EB9">
      <w:pPr>
        <w:ind w:left="1091" w:right="4"/>
      </w:pPr>
      <w:r>
        <w:t xml:space="preserve">The department head (or primary supervisor in the case of significant administrative appointments) will write an evaluation for the calendar year in a memorandum transmitted to the faculty member.  The faculty member will acknowledge receipt by signing a copy of the document and should be allowed to provide written comments for the file if they so choose.  A faculty member refusing to sign the acknowledgment of the document will be noted in the file.  This memorandum, as well as the annual review and any related documents, will be placed in the faculty member's unit personnel file.  Moreover, this memorandum shall also include a statement on expectations for the next year in teaching, research/scholarly activity/creative work, and and/or service. Heads should also provide promotion-eligible faculty with an assessment of their progress towards promotion.    </w:t>
      </w:r>
    </w:p>
    <w:p w14:paraId="524C2C29" w14:textId="77777777" w:rsidR="005D1823" w:rsidRDefault="003C0EB9">
      <w:pPr>
        <w:spacing w:after="20" w:line="259" w:lineRule="auto"/>
        <w:ind w:left="1441" w:firstLine="0"/>
      </w:pPr>
      <w:r>
        <w:t xml:space="preserve"> </w:t>
      </w:r>
    </w:p>
    <w:p w14:paraId="4F46EF6B" w14:textId="77777777" w:rsidR="005D1823" w:rsidRDefault="003C0EB9">
      <w:pPr>
        <w:spacing w:after="123"/>
        <w:ind w:left="1091" w:right="4"/>
      </w:pPr>
      <w:r>
        <w:t>Per system regulation, no faculty member may receive an overall satisfactory rating (i.e., rating of Meets                       Expectations or above) if they have not complied with all required Texas A&amp;M System and Texas A&amp;M University training programs (</w:t>
      </w:r>
      <w:hyperlink r:id="rId40">
        <w:r>
          <w:rPr>
            <w:u w:val="single" w:color="000000"/>
          </w:rPr>
          <w:t>System Regulation 33.05.02</w:t>
        </w:r>
      </w:hyperlink>
      <w:hyperlink r:id="rId41">
        <w:r>
          <w:t xml:space="preserve"> </w:t>
        </w:r>
      </w:hyperlink>
      <w:r>
        <w:t xml:space="preserve">Required Employee Training).  In cases where a faculty member has been notified of a mandatory training requirement near the time of the end of the evaluation period, they shall be given 30 days to complete the requirement.  All faculty must certify that they are up to date on </w:t>
      </w:r>
      <w:proofErr w:type="spellStart"/>
      <w:r>
        <w:t>TrainTraq</w:t>
      </w:r>
      <w:proofErr w:type="spellEnd"/>
      <w:r>
        <w:t xml:space="preserve"> trainings.   </w:t>
      </w:r>
    </w:p>
    <w:p w14:paraId="6F5BC37F" w14:textId="77777777" w:rsidR="005D1823" w:rsidRDefault="003C0EB9">
      <w:pPr>
        <w:ind w:left="1091" w:right="4"/>
      </w:pPr>
      <w:r>
        <w:t xml:space="preserve"> Annual review of faculty performance for teaching must also consider demonstrated evidence that the faculty member complies with all policies, rules, and deadlines associated with teaching. The college recommends that the annual evaluation rating accurately reflect situations where a faculty member is out of compliance with the policies listed below for teaching. </w:t>
      </w:r>
    </w:p>
    <w:p w14:paraId="2E67C0FF" w14:textId="77777777" w:rsidR="005D1823" w:rsidRDefault="003C0EB9">
      <w:pPr>
        <w:spacing w:after="64" w:line="259" w:lineRule="auto"/>
        <w:ind w:left="1081" w:firstLine="0"/>
      </w:pPr>
      <w:r>
        <w:t xml:space="preserve"> </w:t>
      </w:r>
    </w:p>
    <w:p w14:paraId="5D63B2A7" w14:textId="77777777" w:rsidR="005D1823" w:rsidRDefault="003C0EB9">
      <w:pPr>
        <w:numPr>
          <w:ilvl w:val="0"/>
          <w:numId w:val="10"/>
        </w:numPr>
        <w:spacing w:after="52"/>
        <w:ind w:right="4" w:hanging="360"/>
      </w:pPr>
      <w:r>
        <w:t xml:space="preserve">Course Syllabi and CV must be posted no later than seven days after the first-class day as stated in Texas Education Code 51.974. </w:t>
      </w:r>
    </w:p>
    <w:p w14:paraId="54C99D77" w14:textId="77777777" w:rsidR="005D1823" w:rsidRDefault="003C0EB9">
      <w:pPr>
        <w:numPr>
          <w:ilvl w:val="0"/>
          <w:numId w:val="10"/>
        </w:numPr>
        <w:ind w:right="4" w:hanging="360"/>
      </w:pPr>
      <w:r>
        <w:t xml:space="preserve">All required midterm grades and final grades, including the grades for graduating seniors, must be submitted on time. </w:t>
      </w:r>
    </w:p>
    <w:p w14:paraId="55AAAE2E" w14:textId="77777777" w:rsidR="005D1823" w:rsidRDefault="003C0EB9">
      <w:pPr>
        <w:numPr>
          <w:ilvl w:val="0"/>
          <w:numId w:val="10"/>
        </w:numPr>
        <w:ind w:right="4" w:hanging="360"/>
      </w:pPr>
      <w:r>
        <w:lastRenderedPageBreak/>
        <w:t xml:space="preserve">All attendance certifications (e.g., First Day of Attendance Certification) must be submitted accurately and on time. </w:t>
      </w:r>
    </w:p>
    <w:p w14:paraId="6A809FC0" w14:textId="77777777" w:rsidR="00B97A88" w:rsidRDefault="00B97A88" w:rsidP="000A6976">
      <w:pPr>
        <w:ind w:left="1801" w:right="4" w:firstLine="0"/>
      </w:pPr>
    </w:p>
    <w:p w14:paraId="0FE8ED49" w14:textId="77777777" w:rsidR="005D1823" w:rsidRDefault="003C0EB9">
      <w:pPr>
        <w:pStyle w:val="Heading4"/>
        <w:ind w:left="356"/>
      </w:pPr>
      <w:r>
        <w:t>5.5.3</w:t>
      </w:r>
      <w:r>
        <w:rPr>
          <w:rFonts w:ascii="Arial" w:eastAsia="Arial" w:hAnsi="Arial" w:cs="Arial"/>
        </w:rPr>
        <w:t xml:space="preserve"> </w:t>
      </w:r>
      <w:r>
        <w:t xml:space="preserve">Meeting between the department head, director, or supervisor and the faculty member </w:t>
      </w:r>
    </w:p>
    <w:p w14:paraId="75E3C370" w14:textId="77777777" w:rsidR="005D1823" w:rsidRDefault="003C0EB9">
      <w:pPr>
        <w:ind w:left="1091" w:right="4"/>
      </w:pPr>
      <w:r>
        <w:t xml:space="preserve">The department head, director, or supervisor must provide an annual opportunity for a personal meeting to discuss the written review and expectations for the coming year.  In some cases, there may be a need for more frequent meetings at the request of the department head/director/supervisor or faculty member.  It is strongly recommended that the head (or an appropriate delegate, such as the Associate Head or P&amp;T committee chair) meet with all untenured tenure track faculty on an annual basis to discuss their progress towards tenure.  </w:t>
      </w:r>
    </w:p>
    <w:p w14:paraId="3DCD8930" w14:textId="77777777" w:rsidR="005D1823" w:rsidRDefault="003C0EB9">
      <w:pPr>
        <w:spacing w:after="110" w:line="259" w:lineRule="auto"/>
        <w:ind w:left="866" w:firstLine="0"/>
      </w:pPr>
      <w:r>
        <w:t xml:space="preserve"> </w:t>
      </w:r>
    </w:p>
    <w:p w14:paraId="1114C6B0" w14:textId="77777777" w:rsidR="005D1823" w:rsidRDefault="003C0EB9">
      <w:pPr>
        <w:pStyle w:val="Heading4"/>
        <w:ind w:left="356"/>
      </w:pPr>
      <w:r>
        <w:t>5.5.4</w:t>
      </w:r>
      <w:r>
        <w:rPr>
          <w:rFonts w:ascii="Arial" w:eastAsia="Arial" w:hAnsi="Arial" w:cs="Arial"/>
        </w:rPr>
        <w:t xml:space="preserve"> </w:t>
      </w:r>
      <w:r>
        <w:t xml:space="preserve">Performance Assessment </w:t>
      </w:r>
    </w:p>
    <w:p w14:paraId="65171604" w14:textId="77777777" w:rsidR="005D1823" w:rsidRDefault="003C0EB9">
      <w:pPr>
        <w:ind w:left="1091" w:right="4"/>
      </w:pPr>
      <w:r>
        <w:t xml:space="preserve">In assessing performance, the weights given to teaching, research/scholarly activity/creative work, and service shall be consistent with the </w:t>
      </w:r>
      <w:r>
        <w:rPr>
          <w:rFonts w:cs="Calibri"/>
        </w:rPr>
        <w:t xml:space="preserve">expectations of the individual’s appointment, the annual review, and with the </w:t>
      </w:r>
      <w:r>
        <w:t xml:space="preserve">overall contributions of the faculty member to the multiple missions of the Department, College, and University. </w:t>
      </w:r>
    </w:p>
    <w:p w14:paraId="41B48D9E" w14:textId="77777777" w:rsidR="005D1823" w:rsidRDefault="003C0EB9">
      <w:pPr>
        <w:spacing w:after="110" w:line="259" w:lineRule="auto"/>
        <w:ind w:left="1441" w:firstLine="0"/>
      </w:pPr>
      <w:r>
        <w:t xml:space="preserve"> </w:t>
      </w:r>
    </w:p>
    <w:p w14:paraId="46A9AB08" w14:textId="77777777" w:rsidR="005D1823" w:rsidRDefault="003C0EB9">
      <w:pPr>
        <w:pStyle w:val="Heading4"/>
        <w:ind w:left="356"/>
      </w:pPr>
      <w:r>
        <w:t>5.5.5</w:t>
      </w:r>
      <w:r>
        <w:rPr>
          <w:rFonts w:ascii="Arial" w:eastAsia="Arial" w:hAnsi="Arial" w:cs="Arial"/>
        </w:rPr>
        <w:t xml:space="preserve"> </w:t>
      </w:r>
      <w:r>
        <w:t xml:space="preserve">Assessment outcomes that require action </w:t>
      </w:r>
    </w:p>
    <w:p w14:paraId="76133A6E" w14:textId="77777777" w:rsidR="005D1823" w:rsidRDefault="003C0EB9">
      <w:pPr>
        <w:ind w:left="1091" w:right="4"/>
      </w:pPr>
      <w:r>
        <w:t xml:space="preserve">As per </w:t>
      </w:r>
      <w:hyperlink r:id="rId42">
        <w:r>
          <w:rPr>
            <w:u w:val="single" w:color="000000"/>
          </w:rPr>
          <w:t>University SAP 12.06.99.M0.01</w:t>
        </w:r>
      </w:hyperlink>
      <w:hyperlink r:id="rId43">
        <w:r>
          <w:t xml:space="preserve"> </w:t>
        </w:r>
      </w:hyperlink>
      <w:r>
        <w:t xml:space="preserve">(Post-Tenure Review), the following annual evaluation and periodic peer review ratings require further action: </w:t>
      </w:r>
    </w:p>
    <w:p w14:paraId="5AB576B6" w14:textId="77777777" w:rsidR="005D1823" w:rsidRDefault="003C0EB9">
      <w:pPr>
        <w:spacing w:after="87" w:line="259" w:lineRule="auto"/>
        <w:ind w:left="1441" w:firstLine="0"/>
      </w:pPr>
      <w:r>
        <w:t xml:space="preserve"> </w:t>
      </w:r>
    </w:p>
    <w:p w14:paraId="7E97FB68" w14:textId="77777777" w:rsidR="005D1823" w:rsidRDefault="003C0EB9">
      <w:pPr>
        <w:pStyle w:val="Heading5"/>
        <w:tabs>
          <w:tab w:val="center" w:pos="658"/>
          <w:tab w:val="center" w:pos="2505"/>
        </w:tabs>
        <w:ind w:left="0" w:firstLine="0"/>
      </w:pPr>
      <w:r>
        <w:rPr>
          <w:rFonts w:ascii="Calibri" w:eastAsia="Calibri" w:hAnsi="Calibri" w:cs="Calibri"/>
          <w:i w:val="0"/>
          <w:color w:val="000000"/>
        </w:rPr>
        <w:tab/>
      </w:r>
      <w:r>
        <w:t>5.5.5.1</w:t>
      </w:r>
      <w:r>
        <w:rPr>
          <w:rFonts w:ascii="Arial" w:eastAsia="Arial" w:hAnsi="Arial" w:cs="Arial"/>
        </w:rPr>
        <w:t xml:space="preserve"> </w:t>
      </w:r>
      <w:r>
        <w:rPr>
          <w:rFonts w:ascii="Arial" w:eastAsia="Arial" w:hAnsi="Arial" w:cs="Arial"/>
        </w:rPr>
        <w:tab/>
      </w:r>
      <w:r>
        <w:t xml:space="preserve">Unsatisfactory Performance </w:t>
      </w:r>
    </w:p>
    <w:p w14:paraId="2794B613" w14:textId="77777777" w:rsidR="005D1823" w:rsidRDefault="003C0EB9">
      <w:pPr>
        <w:spacing w:after="0" w:line="266" w:lineRule="auto"/>
        <w:ind w:left="1236"/>
      </w:pPr>
      <w:r>
        <w:rPr>
          <w:rFonts w:cs="Calibri"/>
        </w:rPr>
        <w:t xml:space="preserve">An overall unsatisfactory rating is defined as being “Unsatisfactory” in any single area of faculty performance: </w:t>
      </w:r>
    </w:p>
    <w:p w14:paraId="0F19C2F5" w14:textId="77777777" w:rsidR="005D1823" w:rsidRDefault="003C0EB9">
      <w:pPr>
        <w:ind w:left="1236" w:right="4"/>
      </w:pPr>
      <w:r>
        <w:t xml:space="preserve">teaching, research/scholarly activity/creative work, service, and other assigned responsibilities (e.g., </w:t>
      </w:r>
      <w:r>
        <w:rPr>
          <w:rFonts w:cs="Calibri"/>
        </w:rPr>
        <w:t>administration), or a rating of “Needs</w:t>
      </w:r>
      <w:r>
        <w:t xml:space="preserve"> </w:t>
      </w:r>
      <w:r>
        <w:rPr>
          <w:rFonts w:cs="Calibri"/>
        </w:rPr>
        <w:t>Improvement” in any two areas of faculty performance.</w:t>
      </w:r>
      <w:r>
        <w:t xml:space="preserve"> </w:t>
      </w:r>
    </w:p>
    <w:p w14:paraId="6A58F27D" w14:textId="77777777" w:rsidR="005D1823" w:rsidRDefault="003C0EB9">
      <w:pPr>
        <w:spacing w:after="20" w:line="259" w:lineRule="auto"/>
        <w:ind w:left="2161" w:firstLine="0"/>
      </w:pPr>
      <w:r>
        <w:t xml:space="preserve"> </w:t>
      </w:r>
    </w:p>
    <w:p w14:paraId="715B9C2B" w14:textId="77777777" w:rsidR="005D1823" w:rsidRDefault="003C0EB9">
      <w:pPr>
        <w:ind w:left="1236" w:right="4"/>
      </w:pPr>
      <w:r>
        <w:rPr>
          <w:rFonts w:cs="Calibri"/>
        </w:rPr>
        <w:t xml:space="preserve">An annual review resulting in an overall “Unsatisfactory” performance shall state the basis for the rating in </w:t>
      </w:r>
      <w:r>
        <w:t xml:space="preserve">accordance with the unit established criteria (see Section 4).  Each unsatisfactory review shall be reported to the dean.  The report to the dean </w:t>
      </w:r>
      <w:r>
        <w:rPr>
          <w:rFonts w:cs="Calibri"/>
        </w:rPr>
        <w:t xml:space="preserve">of each “Unsatisfactory” performance evaluation for a tenured faculty </w:t>
      </w:r>
      <w:r>
        <w:t xml:space="preserve">member shall be accompanied by a written plan developed by the faculty member and department head, program director, or supervisor, for near-term improvement.   A tenured faculty member who receives an </w:t>
      </w:r>
      <w:r>
        <w:rPr>
          <w:rFonts w:cs="Calibri"/>
        </w:rPr>
        <w:t xml:space="preserve">overall annual rating of “Unsatisfactory” for three consecutive annual reviews or who receives an </w:t>
      </w:r>
    </w:p>
    <w:p w14:paraId="62831A00" w14:textId="77777777" w:rsidR="005D1823" w:rsidRDefault="003C0EB9">
      <w:pPr>
        <w:spacing w:after="0" w:line="266" w:lineRule="auto"/>
        <w:ind w:left="1236"/>
      </w:pPr>
      <w:r>
        <w:rPr>
          <w:rFonts w:cs="Calibri"/>
        </w:rPr>
        <w:t xml:space="preserve">“Unsatisfactory” periodic peer review (see section 8) shall be subject to a professional development review, as </w:t>
      </w:r>
      <w:r>
        <w:t xml:space="preserve">provided for by </w:t>
      </w:r>
      <w:hyperlink r:id="rId44">
        <w:r>
          <w:rPr>
            <w:u w:val="single" w:color="000000"/>
          </w:rPr>
          <w:t>University SAP 12.06.99.M0.01</w:t>
        </w:r>
      </w:hyperlink>
      <w:hyperlink r:id="rId45">
        <w:r>
          <w:t xml:space="preserve"> </w:t>
        </w:r>
      </w:hyperlink>
      <w:r>
        <w:t xml:space="preserve">(Post-Tenure Review). </w:t>
      </w:r>
    </w:p>
    <w:p w14:paraId="5A895FEB" w14:textId="77777777" w:rsidR="005D1823" w:rsidRDefault="003C0EB9">
      <w:pPr>
        <w:spacing w:after="87" w:line="259" w:lineRule="auto"/>
        <w:ind w:left="2341" w:firstLine="0"/>
      </w:pPr>
      <w:r>
        <w:t xml:space="preserve"> </w:t>
      </w:r>
    </w:p>
    <w:p w14:paraId="6331A61E" w14:textId="77777777" w:rsidR="005D1823" w:rsidRDefault="003C0EB9">
      <w:pPr>
        <w:pStyle w:val="Heading5"/>
        <w:tabs>
          <w:tab w:val="center" w:pos="658"/>
          <w:tab w:val="center" w:pos="2755"/>
        </w:tabs>
        <w:ind w:left="0" w:firstLine="0"/>
      </w:pPr>
      <w:r>
        <w:rPr>
          <w:rFonts w:ascii="Calibri" w:eastAsia="Calibri" w:hAnsi="Calibri" w:cs="Calibri"/>
          <w:i w:val="0"/>
          <w:color w:val="000000"/>
        </w:rPr>
        <w:tab/>
      </w:r>
      <w:r>
        <w:t>5.5.5.2</w:t>
      </w:r>
      <w:r>
        <w:rPr>
          <w:rFonts w:ascii="Arial" w:eastAsia="Arial" w:hAnsi="Arial" w:cs="Arial"/>
        </w:rPr>
        <w:t xml:space="preserve"> </w:t>
      </w:r>
      <w:r>
        <w:rPr>
          <w:rFonts w:ascii="Arial" w:eastAsia="Arial" w:hAnsi="Arial" w:cs="Arial"/>
        </w:rPr>
        <w:tab/>
      </w:r>
      <w:r>
        <w:t xml:space="preserve">Needs Improvement Performance </w:t>
      </w:r>
    </w:p>
    <w:p w14:paraId="02BEAE62" w14:textId="77777777" w:rsidR="005D1823" w:rsidRDefault="003C0EB9">
      <w:pPr>
        <w:ind w:left="1236" w:right="4"/>
      </w:pPr>
      <w:r>
        <w:rPr>
          <w:rFonts w:cs="Calibri"/>
        </w:rPr>
        <w:t xml:space="preserve">If a tenured faculty member receives a “Needs Improvement” rating in any single area of faculty performance </w:t>
      </w:r>
      <w:r>
        <w:t xml:space="preserve">during the annual evaluation or periodic peer review (see section 9), they must work with their department head, director, or supervisor immediately to develop a plan for near term improvement.  For teaching, this plan should take one year or less to complete successfully.  In other areas (e.g., research/scholarly activity/creative work), this plan may take up to three years to complete successfully with clearly identified milestones at least yearly.  </w:t>
      </w:r>
    </w:p>
    <w:p w14:paraId="6834A523" w14:textId="77777777" w:rsidR="005D1823" w:rsidRDefault="003C0EB9">
      <w:pPr>
        <w:spacing w:after="126" w:line="259" w:lineRule="auto"/>
        <w:ind w:left="2376" w:firstLine="0"/>
      </w:pPr>
      <w:r>
        <w:t xml:space="preserve"> </w:t>
      </w:r>
    </w:p>
    <w:p w14:paraId="46B0311E" w14:textId="77777777" w:rsidR="005D1823" w:rsidRDefault="003C0EB9">
      <w:pPr>
        <w:pStyle w:val="Heading2"/>
        <w:ind w:left="356"/>
      </w:pPr>
      <w:r>
        <w:lastRenderedPageBreak/>
        <w:t>5.6</w:t>
      </w:r>
      <w:r>
        <w:rPr>
          <w:rFonts w:ascii="Arial" w:eastAsia="Arial" w:hAnsi="Arial" w:cs="Arial"/>
        </w:rPr>
        <w:t xml:space="preserve"> </w:t>
      </w:r>
      <w:r>
        <w:t xml:space="preserve">Timeline </w:t>
      </w:r>
    </w:p>
    <w:p w14:paraId="705930F9" w14:textId="79CB746D" w:rsidR="005D1823" w:rsidRDefault="003C0EB9">
      <w:pPr>
        <w:ind w:left="931" w:right="4"/>
      </w:pPr>
      <w:r>
        <w:t xml:space="preserve">The annual review process is set to conclude prior to the beginning of the budgetary process, thereby enabling department heads, directors, or supervisors to assess faculty performance when determining salary merit </w:t>
      </w:r>
      <w:r>
        <w:rPr>
          <w:rFonts w:cs="Calibri"/>
        </w:rPr>
        <w:t xml:space="preserve">increases.  The </w:t>
      </w:r>
      <w:r w:rsidR="00930673">
        <w:rPr>
          <w:rFonts w:cs="Calibri"/>
        </w:rPr>
        <w:t xml:space="preserve">Vice Provost </w:t>
      </w:r>
      <w:r>
        <w:rPr>
          <w:rFonts w:cs="Calibri"/>
        </w:rPr>
        <w:t>of Facult</w:t>
      </w:r>
      <w:r w:rsidR="00930673">
        <w:rPr>
          <w:rFonts w:cs="Calibri"/>
        </w:rPr>
        <w:t>y Affairs</w:t>
      </w:r>
      <w:r>
        <w:rPr>
          <w:rFonts w:cs="Calibri"/>
        </w:rPr>
        <w:t xml:space="preserve">’ Guidelines state, “These reviews must be </w:t>
      </w:r>
      <w:r>
        <w:t xml:space="preserve">completed before merit raises may be recommended, and never later than </w:t>
      </w:r>
      <w:r>
        <w:rPr>
          <w:rFonts w:cs="Calibri"/>
          <w:b/>
        </w:rPr>
        <w:t xml:space="preserve">June 15 </w:t>
      </w:r>
      <w:r>
        <w:rPr>
          <w:rFonts w:cs="Calibri"/>
        </w:rPr>
        <w:t>of each year.”</w:t>
      </w:r>
      <w:r>
        <w:t xml:space="preserve">    </w:t>
      </w:r>
    </w:p>
    <w:p w14:paraId="28B8C1EF" w14:textId="77777777" w:rsidR="005D1823" w:rsidRDefault="003C0EB9">
      <w:pPr>
        <w:spacing w:after="123" w:line="259" w:lineRule="auto"/>
        <w:ind w:left="936" w:firstLine="0"/>
      </w:pPr>
      <w:r>
        <w:t xml:space="preserve"> </w:t>
      </w:r>
    </w:p>
    <w:p w14:paraId="52F4C2DE" w14:textId="77777777" w:rsidR="005D1823" w:rsidRDefault="003C0EB9">
      <w:pPr>
        <w:pStyle w:val="Heading2"/>
        <w:ind w:left="356"/>
      </w:pPr>
      <w:r>
        <w:t>5.7</w:t>
      </w:r>
      <w:r>
        <w:rPr>
          <w:rFonts w:ascii="Arial" w:eastAsia="Arial" w:hAnsi="Arial" w:cs="Arial"/>
        </w:rPr>
        <w:t xml:space="preserve"> </w:t>
      </w:r>
      <w:r>
        <w:t xml:space="preserve">Complaint procedure if annual review fails to follow published guidelines: </w:t>
      </w:r>
    </w:p>
    <w:p w14:paraId="12E49EB6" w14:textId="77777777" w:rsidR="005D1823" w:rsidRDefault="003C0EB9">
      <w:pPr>
        <w:ind w:left="931" w:right="4"/>
      </w:pPr>
      <w:r>
        <w:t xml:space="preserve">A faculty member who believes that his or her annual review process did not comply with the department published annual review guidelines, or in their absence those published by the college, may file a complaint in writing addressed to the dean of the college with a copy to the Vice Provost Faculty Affairs. The dean of the college will review and decide on the merits of the complaint. The decision of the dean of the college may be appealed to the Vice Provost Faculty Affairs. See section 2.4.3.5 of  </w:t>
      </w:r>
      <w:hyperlink r:id="rId46">
        <w:r>
          <w:rPr>
            <w:u w:val="single" w:color="000000"/>
          </w:rPr>
          <w:t>University SAP 12.01.99.M1</w:t>
        </w:r>
      </w:hyperlink>
      <w:hyperlink r:id="rId47">
        <w:r>
          <w:t>.</w:t>
        </w:r>
      </w:hyperlink>
      <w:r>
        <w:t xml:space="preserve"> </w:t>
      </w:r>
    </w:p>
    <w:p w14:paraId="6F8B5106" w14:textId="77777777" w:rsidR="00F91327" w:rsidRDefault="00F91327" w:rsidP="004D0D9F">
      <w:pPr>
        <w:spacing w:after="128" w:line="259" w:lineRule="auto"/>
        <w:ind w:left="0" w:firstLine="0"/>
      </w:pPr>
    </w:p>
    <w:p w14:paraId="3294EB60" w14:textId="14A4B8BB" w:rsidR="005D1823" w:rsidRDefault="005D1823">
      <w:pPr>
        <w:spacing w:after="15" w:line="259" w:lineRule="auto"/>
        <w:ind w:left="1081" w:firstLine="0"/>
      </w:pPr>
    </w:p>
    <w:p w14:paraId="16169DF7" w14:textId="77777777" w:rsidR="005D1823" w:rsidRDefault="003C0EB9">
      <w:pPr>
        <w:ind w:left="931" w:right="4"/>
      </w:pPr>
      <w:r>
        <w:t xml:space="preserve">There is no formal grievance or appeal regarding the substance of an annual review. See section 2.4.3.6 of </w:t>
      </w:r>
      <w:hyperlink r:id="rId48">
        <w:r>
          <w:rPr>
            <w:u w:val="single" w:color="000000"/>
          </w:rPr>
          <w:t>University SAP 12.01.99.M2</w:t>
        </w:r>
      </w:hyperlink>
      <w:hyperlink r:id="rId49">
        <w:r>
          <w:t xml:space="preserve"> </w:t>
        </w:r>
      </w:hyperlink>
    </w:p>
    <w:p w14:paraId="7CB6C945" w14:textId="77777777" w:rsidR="005D1823" w:rsidRDefault="003C0EB9">
      <w:pPr>
        <w:spacing w:after="15" w:line="259" w:lineRule="auto"/>
        <w:ind w:left="1081" w:firstLine="0"/>
      </w:pPr>
      <w:r>
        <w:t xml:space="preserve"> </w:t>
      </w:r>
    </w:p>
    <w:p w14:paraId="0B545348" w14:textId="77777777" w:rsidR="005D1823" w:rsidRDefault="003C0EB9">
      <w:pPr>
        <w:spacing w:after="315" w:line="259" w:lineRule="auto"/>
        <w:ind w:left="361" w:firstLine="0"/>
      </w:pPr>
      <w:r>
        <w:t xml:space="preserve"> </w:t>
      </w:r>
    </w:p>
    <w:p w14:paraId="3D0BA455" w14:textId="77777777" w:rsidR="005D1823" w:rsidRDefault="003C0EB9">
      <w:pPr>
        <w:pStyle w:val="Heading1"/>
        <w:ind w:left="356"/>
      </w:pPr>
      <w:r>
        <w:t xml:space="preserve">Section 6: Department-Level Processes for Promotion and Tenure Review   </w:t>
      </w:r>
    </w:p>
    <w:p w14:paraId="02AC2D0B" w14:textId="77777777" w:rsidR="005D1823" w:rsidRDefault="003C0EB9">
      <w:pPr>
        <w:spacing w:after="88" w:line="259" w:lineRule="auto"/>
        <w:ind w:left="361" w:firstLine="0"/>
      </w:pPr>
      <w:r>
        <w:t xml:space="preserve"> </w:t>
      </w:r>
    </w:p>
    <w:p w14:paraId="2248C282" w14:textId="77777777" w:rsidR="005D1823" w:rsidRDefault="003C0EB9">
      <w:pPr>
        <w:pStyle w:val="Heading2"/>
        <w:spacing w:after="69"/>
        <w:ind w:left="356"/>
      </w:pPr>
      <w:r>
        <w:t>6.1</w:t>
      </w:r>
      <w:r>
        <w:rPr>
          <w:rFonts w:ascii="Arial" w:eastAsia="Arial" w:hAnsi="Arial" w:cs="Arial"/>
        </w:rPr>
        <w:t xml:space="preserve"> </w:t>
      </w:r>
      <w:r>
        <w:t xml:space="preserve">Promotion and/or Tenure Processes </w:t>
      </w:r>
    </w:p>
    <w:p w14:paraId="5C5AC1F4" w14:textId="77777777" w:rsidR="005D1823" w:rsidRDefault="003C0EB9">
      <w:pPr>
        <w:pStyle w:val="Heading4"/>
        <w:spacing w:after="38"/>
        <w:ind w:left="356"/>
      </w:pPr>
      <w:r>
        <w:t>6.1.1</w:t>
      </w:r>
      <w:r>
        <w:rPr>
          <w:rFonts w:ascii="Arial" w:eastAsia="Arial" w:hAnsi="Arial" w:cs="Arial"/>
        </w:rPr>
        <w:t xml:space="preserve"> </w:t>
      </w:r>
      <w:r>
        <w:t xml:space="preserve">Department-Level Requirements for the Candidate’s Promotion Dossier </w:t>
      </w:r>
    </w:p>
    <w:p w14:paraId="20CF9E7C" w14:textId="38F8ABD7" w:rsidR="005D1823" w:rsidRDefault="003C0EB9">
      <w:pPr>
        <w:numPr>
          <w:ilvl w:val="0"/>
          <w:numId w:val="11"/>
        </w:numPr>
        <w:spacing w:after="52"/>
        <w:ind w:left="1442" w:right="4" w:hanging="361"/>
      </w:pPr>
      <w:r>
        <w:t>The faculty candidate is responsible for preparing documents in the promotion dossier per College of Arts &amp; Sciences and university guidelines</w:t>
      </w:r>
      <w:hyperlink r:id="rId50">
        <w:r w:rsidRPr="00272615">
          <w:t>)</w:t>
        </w:r>
      </w:hyperlink>
      <w:r w:rsidRPr="00272615">
        <w:t>.</w:t>
      </w:r>
      <w:r>
        <w:t xml:space="preserve">  </w:t>
      </w:r>
    </w:p>
    <w:p w14:paraId="253C10ED" w14:textId="33C5B774" w:rsidR="00F82FA0" w:rsidRDefault="00F82FA0" w:rsidP="004D0D9F">
      <w:pPr>
        <w:numPr>
          <w:ilvl w:val="1"/>
          <w:numId w:val="11"/>
        </w:numPr>
        <w:spacing w:after="52"/>
        <w:ind w:right="4" w:hanging="361"/>
      </w:pPr>
      <w:r>
        <w:t xml:space="preserve">Research Materials required by the Department of Geology &amp; Geophysics </w:t>
      </w:r>
      <w:r w:rsidR="00F91327">
        <w:t>are</w:t>
      </w:r>
      <w:r>
        <w:t xml:space="preserve"> 3 peer-reviewed publications chosen by the Candidate.</w:t>
      </w:r>
    </w:p>
    <w:p w14:paraId="57FFC3A7" w14:textId="77777777" w:rsidR="005D1823" w:rsidRDefault="003C0EB9">
      <w:pPr>
        <w:numPr>
          <w:ilvl w:val="0"/>
          <w:numId w:val="11"/>
        </w:numPr>
        <w:ind w:left="1442" w:right="4" w:hanging="361"/>
      </w:pPr>
      <w:r>
        <w:t xml:space="preserve">Candidates for promotion who hold research as an area of responsibility will provide a talk during a public seminar for the Department of Geology &amp; Geophysics on their research and Instructional Faculty will hold a public seminar on their teaching during the year prior to the start of the promotion process.  </w:t>
      </w:r>
    </w:p>
    <w:p w14:paraId="0A01B7E3" w14:textId="77777777" w:rsidR="005D1823" w:rsidRDefault="003C0EB9">
      <w:pPr>
        <w:spacing w:after="110" w:line="259" w:lineRule="auto"/>
        <w:ind w:left="1981" w:firstLine="0"/>
      </w:pPr>
      <w:r>
        <w:t xml:space="preserve"> </w:t>
      </w:r>
    </w:p>
    <w:p w14:paraId="7EF82740" w14:textId="77777777" w:rsidR="005D1823" w:rsidRDefault="003C0EB9">
      <w:pPr>
        <w:pStyle w:val="Heading4"/>
        <w:spacing w:after="38"/>
        <w:ind w:left="356"/>
      </w:pPr>
      <w:r>
        <w:t>6.1.2</w:t>
      </w:r>
      <w:r>
        <w:rPr>
          <w:rFonts w:ascii="Arial" w:eastAsia="Arial" w:hAnsi="Arial" w:cs="Arial"/>
        </w:rPr>
        <w:t xml:space="preserve"> </w:t>
      </w:r>
      <w:r>
        <w:t xml:space="preserve">Department Promotion &amp; Tenure Committee </w:t>
      </w:r>
    </w:p>
    <w:p w14:paraId="1106AD67" w14:textId="77777777" w:rsidR="005D1823" w:rsidRDefault="003C0EB9">
      <w:pPr>
        <w:numPr>
          <w:ilvl w:val="0"/>
          <w:numId w:val="12"/>
        </w:numPr>
        <w:ind w:left="1442" w:right="4" w:hanging="361"/>
      </w:pPr>
      <w:r>
        <w:t xml:space="preserve">Tenured Faculty membership:  The Chair of the Promotion &amp; Tenure (P&amp;T) Committee is appointed by the Department Head, and full-professor members are chosen by the Department Head in consultation with the Chair of the Tenure and Promotion Committee and with members of the Department Executive Committee.  The Promotion &amp; Tenure Committee shall consist of a Chair and at least four members at the rank of full professor from the tenured faculty (university guidelines require a minimum of five (5) eligible-to-vote committee members for all types of cases for promotion and/or tenure).  The committee will also include one tenured associate professor. The associate-professor member holds a one-year appointment, which is </w:t>
      </w:r>
      <w:r>
        <w:rPr>
          <w:rFonts w:cs="Calibri"/>
        </w:rPr>
        <w:t xml:space="preserve">rotated through the department’s tenured associate professors.  All members discuss and vote on assistant professors’ progress to promotion, while only full professors may discuss and vote on associate professors.  </w:t>
      </w:r>
    </w:p>
    <w:p w14:paraId="4836F227" w14:textId="77777777" w:rsidR="005D1823" w:rsidRDefault="003C0EB9">
      <w:pPr>
        <w:ind w:left="1451" w:right="4"/>
      </w:pPr>
      <w:r>
        <w:lastRenderedPageBreak/>
        <w:t xml:space="preserve">Members must both participate in deliberations regarding tenure and promotion dossiers and vote.   </w:t>
      </w:r>
    </w:p>
    <w:p w14:paraId="7EF4A2AC" w14:textId="77777777" w:rsidR="005D1823" w:rsidRDefault="003C0EB9">
      <w:pPr>
        <w:numPr>
          <w:ilvl w:val="0"/>
          <w:numId w:val="12"/>
        </w:numPr>
        <w:spacing w:after="52"/>
        <w:ind w:left="1442" w:right="4" w:hanging="361"/>
      </w:pPr>
      <w:r>
        <w:t>Recusals are permitted only in cases where there is a conflict of interest (per university guidelines), and recusals will pertain to both deliberations and the vote.  Individual votes must be confidential.  Members are expected to meet in-person for deliberations and voting for Tenure and/or Promotion cases</w:t>
      </w:r>
      <w:r>
        <w:rPr>
          <w:rFonts w:cs="Calibri"/>
        </w:rPr>
        <w:t xml:space="preserve">.  “Absent” is </w:t>
      </w:r>
      <w:r>
        <w:t xml:space="preserve">only used for a committee member with a justified absence (e.g., illness).  Absent should not be used for a committee member who does not wish to participate or does not review the dossier.  Abstain votes are not allowed. </w:t>
      </w:r>
    </w:p>
    <w:p w14:paraId="0A119EE4" w14:textId="0836736C" w:rsidR="005D1823" w:rsidRPr="004D0D9F" w:rsidRDefault="003C0EB9">
      <w:pPr>
        <w:numPr>
          <w:ilvl w:val="0"/>
          <w:numId w:val="12"/>
        </w:numPr>
        <w:spacing w:after="52"/>
        <w:ind w:left="1442" w:right="4" w:hanging="361"/>
        <w:rPr>
          <w:strike/>
        </w:rPr>
      </w:pPr>
      <w:r>
        <w:t>APT Faculty membership:  One APT faculty member at a fully promoted level may be appointed, at the discretion of the Department Head in consultation with the Chair of the Promotion and Tenure Committee, to discuss and vote on promotion of promotable APT faculty members</w:t>
      </w:r>
      <w:r w:rsidR="004D0D9F">
        <w:t>.</w:t>
      </w:r>
    </w:p>
    <w:p w14:paraId="610954C9" w14:textId="77777777" w:rsidR="005D1823" w:rsidRDefault="003C0EB9">
      <w:pPr>
        <w:numPr>
          <w:ilvl w:val="0"/>
          <w:numId w:val="12"/>
        </w:numPr>
        <w:ind w:left="1442" w:right="4" w:hanging="361"/>
      </w:pPr>
      <w:r>
        <w:t xml:space="preserve">Committee members with conflicts of interest (e.g., a relative of the candidate; a graduate or post-doc </w:t>
      </w:r>
      <w:r>
        <w:rPr>
          <w:rFonts w:cs="Calibri"/>
        </w:rPr>
        <w:t xml:space="preserve">advisor of the candidate) must recuse themselves from voting and deliberation on that specific candidate’s </w:t>
      </w:r>
      <w:r>
        <w:t xml:space="preserve">case.  </w:t>
      </w:r>
    </w:p>
    <w:p w14:paraId="3E06998E" w14:textId="77777777" w:rsidR="005D1823" w:rsidRDefault="003C0EB9">
      <w:pPr>
        <w:spacing w:after="106" w:line="259" w:lineRule="auto"/>
        <w:ind w:left="1981" w:firstLine="0"/>
      </w:pPr>
      <w:r>
        <w:t xml:space="preserve"> </w:t>
      </w:r>
    </w:p>
    <w:p w14:paraId="1E3DC410" w14:textId="77777777" w:rsidR="005D1823" w:rsidRDefault="003C0EB9">
      <w:pPr>
        <w:pStyle w:val="Heading4"/>
        <w:spacing w:after="43"/>
        <w:ind w:left="356"/>
      </w:pPr>
      <w:r>
        <w:t>6.1.3</w:t>
      </w:r>
      <w:r>
        <w:rPr>
          <w:rFonts w:ascii="Arial" w:eastAsia="Arial" w:hAnsi="Arial" w:cs="Arial"/>
        </w:rPr>
        <w:t xml:space="preserve"> </w:t>
      </w:r>
      <w:r>
        <w:t xml:space="preserve">Promotion and Tenure Committee Functions </w:t>
      </w:r>
    </w:p>
    <w:p w14:paraId="42976DBB" w14:textId="36E51DEA" w:rsidR="005D1823" w:rsidRDefault="003C0EB9">
      <w:pPr>
        <w:numPr>
          <w:ilvl w:val="0"/>
          <w:numId w:val="13"/>
        </w:numPr>
        <w:spacing w:after="52"/>
        <w:ind w:left="1442" w:right="4" w:hanging="361"/>
      </w:pPr>
      <w:r>
        <w:rPr>
          <w:rFonts w:cs="Calibri"/>
        </w:rPr>
        <w:t xml:space="preserve">The Department Promotion &amp; Tenure Committee conducts annual reviews of all promotable faculty </w:t>
      </w:r>
      <w:r>
        <w:t xml:space="preserve">members (tenure-track and APT) to assess progress towards the next rank and, following the guidelines of the College of Arts &amp; Sciences, conducts mid-term and tenure reviews and evaluates faculty members seeking promotion to the next rank. The P&amp;T Committee will report the results of annual reviews to the faculty member, through the Department Head. Reports of mid-term reviews will be reported to the Department Head, to be shared with the faculty member per university guidelines. </w:t>
      </w:r>
    </w:p>
    <w:p w14:paraId="4659898E" w14:textId="77777777" w:rsidR="005D1823" w:rsidRDefault="003C0EB9">
      <w:pPr>
        <w:numPr>
          <w:ilvl w:val="0"/>
          <w:numId w:val="13"/>
        </w:numPr>
        <w:spacing w:after="52"/>
        <w:ind w:left="1442" w:right="4" w:hanging="361"/>
      </w:pPr>
      <w:r>
        <w:t xml:space="preserve">The Department P&amp;T Committee will conduct annual peer review of teaching, including classroom observations, for all promotable faculty who hold teaching as an area of responsibility.  These observations will be conducted with foreknowledge of, and at the convenience of the observed faculty. </w:t>
      </w:r>
    </w:p>
    <w:p w14:paraId="73FEF8A1" w14:textId="77777777" w:rsidR="005D1823" w:rsidRDefault="003C0EB9">
      <w:pPr>
        <w:numPr>
          <w:ilvl w:val="0"/>
          <w:numId w:val="13"/>
        </w:numPr>
        <w:ind w:left="1442" w:right="4" w:hanging="361"/>
      </w:pPr>
      <w:r>
        <w:t xml:space="preserve">For review of faculty members undergoing promotion and/or tenure: </w:t>
      </w:r>
    </w:p>
    <w:p w14:paraId="741A04D8" w14:textId="77777777" w:rsidR="00A002DE" w:rsidRDefault="003C0EB9">
      <w:pPr>
        <w:numPr>
          <w:ilvl w:val="1"/>
          <w:numId w:val="13"/>
        </w:numPr>
        <w:spacing w:after="40"/>
        <w:ind w:right="48" w:hanging="360"/>
      </w:pPr>
      <w:r>
        <w:rPr>
          <w:rFonts w:cs="Calibri"/>
        </w:rPr>
        <w:t xml:space="preserve">The Chair of the P&amp;T Committee coordinates the preparation of the candidate’s dossier, per College of </w:t>
      </w:r>
      <w:r>
        <w:t xml:space="preserve">Arts and Sciences and University guidelines, and requests a list of external referees from the candidate per university guidelines.  </w:t>
      </w:r>
    </w:p>
    <w:p w14:paraId="179535D9" w14:textId="32043183" w:rsidR="005D1823" w:rsidRDefault="003C0EB9">
      <w:pPr>
        <w:numPr>
          <w:ilvl w:val="1"/>
          <w:numId w:val="13"/>
        </w:numPr>
        <w:spacing w:after="40"/>
        <w:ind w:right="48" w:hanging="360"/>
      </w:pPr>
      <w:r>
        <w:t xml:space="preserve">It is the responsibility of the P&amp;T Committee, in consultation with the Department Head, to identify and solicit external review letters.  </w:t>
      </w:r>
    </w:p>
    <w:p w14:paraId="523F74F6" w14:textId="77777777" w:rsidR="005D1823" w:rsidRDefault="003C0EB9">
      <w:pPr>
        <w:numPr>
          <w:ilvl w:val="1"/>
          <w:numId w:val="13"/>
        </w:numPr>
        <w:spacing w:after="42"/>
        <w:ind w:right="48" w:hanging="360"/>
      </w:pPr>
      <w:r>
        <w:t xml:space="preserve">The P&amp;T Committee will present arguments developed for and against promotion to all eligible faculty in the department (for tenure-track faculty, all tenured faculty who hold rank above candidate; for APT faculty, tenured faculty and all APT faculty who hold rank above the rank of candidate), providing those faculty the opportunity to express their opinions prior to the vote of the P&amp;T Committee. </w:t>
      </w:r>
    </w:p>
    <w:p w14:paraId="261DF4CC" w14:textId="77777777" w:rsidR="00A002DE" w:rsidRDefault="003C0EB9">
      <w:pPr>
        <w:numPr>
          <w:ilvl w:val="1"/>
          <w:numId w:val="13"/>
        </w:numPr>
        <w:spacing w:after="39"/>
        <w:ind w:right="48" w:hanging="360"/>
      </w:pPr>
      <w:r>
        <w:t xml:space="preserve">Committee and faculty deliberations must be conducted in the strictest confidence; voting will be by secret ballot. </w:t>
      </w:r>
    </w:p>
    <w:p w14:paraId="6776E4DF" w14:textId="336463FD" w:rsidR="005D1823" w:rsidRDefault="003C0EB9">
      <w:pPr>
        <w:numPr>
          <w:ilvl w:val="1"/>
          <w:numId w:val="13"/>
        </w:numPr>
        <w:spacing w:after="39"/>
        <w:ind w:right="48" w:hanging="360"/>
      </w:pPr>
      <w:r>
        <w:t xml:space="preserve">The P&amp;T Committee reports the vote directly to the Department Head, who then informs the candidate of the result. </w:t>
      </w:r>
    </w:p>
    <w:p w14:paraId="5737213E" w14:textId="77777777" w:rsidR="005D1823" w:rsidRDefault="003C0EB9">
      <w:pPr>
        <w:numPr>
          <w:ilvl w:val="1"/>
          <w:numId w:val="13"/>
        </w:numPr>
        <w:ind w:right="48" w:hanging="360"/>
      </w:pPr>
      <w:r>
        <w:t xml:space="preserve">The P&amp;T Committee prepares a summary report with separate sections focused on each of the assigned areas of responsibility, per College of Arts and Sciences and University guidelines.  </w:t>
      </w:r>
    </w:p>
    <w:p w14:paraId="79032661" w14:textId="77777777" w:rsidR="005D1823" w:rsidRDefault="003C0EB9">
      <w:pPr>
        <w:spacing w:after="0" w:line="259" w:lineRule="auto"/>
        <w:ind w:left="721" w:firstLine="0"/>
      </w:pPr>
      <w:r>
        <w:rPr>
          <w:rFonts w:cs="Calibri"/>
          <w:b/>
          <w:sz w:val="24"/>
        </w:rPr>
        <w:t xml:space="preserve"> </w:t>
      </w:r>
    </w:p>
    <w:p w14:paraId="08E455CC" w14:textId="77777777" w:rsidR="005D1823" w:rsidRDefault="003C0EB9">
      <w:pPr>
        <w:pStyle w:val="Heading1"/>
        <w:ind w:left="356"/>
      </w:pPr>
      <w:r>
        <w:lastRenderedPageBreak/>
        <w:t xml:space="preserve">Section 7: Mid-Term Review </w:t>
      </w:r>
    </w:p>
    <w:p w14:paraId="3ABC1EA5" w14:textId="77777777" w:rsidR="005D1823" w:rsidRDefault="003C0EB9">
      <w:pPr>
        <w:spacing w:after="0" w:line="259" w:lineRule="auto"/>
        <w:ind w:left="721" w:firstLine="0"/>
      </w:pPr>
      <w:r>
        <w:rPr>
          <w:rFonts w:cs="Calibri"/>
          <w:b/>
          <w:sz w:val="19"/>
        </w:rPr>
        <w:t xml:space="preserve"> </w:t>
      </w:r>
      <w:r>
        <w:t xml:space="preserve"> </w:t>
      </w:r>
    </w:p>
    <w:p w14:paraId="5DF067DF" w14:textId="77777777" w:rsidR="005D1823" w:rsidRDefault="003C0EB9">
      <w:pPr>
        <w:ind w:right="4"/>
      </w:pPr>
      <w:r>
        <w:t xml:space="preserve">In accordance with Section (4.3.5.2.) of </w:t>
      </w:r>
      <w:hyperlink r:id="rId51">
        <w:r>
          <w:rPr>
            <w:u w:val="single" w:color="000000"/>
          </w:rPr>
          <w:t>University SAP 12.01.99.M1</w:t>
        </w:r>
      </w:hyperlink>
      <w:hyperlink r:id="rId52">
        <w:r>
          <w:t xml:space="preserve"> </w:t>
        </w:r>
      </w:hyperlink>
      <w:r>
        <w:t xml:space="preserve">(University Statement on Academic Freedom, Responsibility, Tenure, and Promotion), the Department will conduct a mandatory comprehensive mid-term review for tenure-track faculty subject to a probationary period (of five or more years), to determine progress towards tenure.  The review will normally be conducted by December of the third year.   </w:t>
      </w:r>
    </w:p>
    <w:p w14:paraId="6ACDBE3C" w14:textId="77777777" w:rsidR="005D1823" w:rsidRDefault="003C0EB9">
      <w:pPr>
        <w:spacing w:after="86" w:line="259" w:lineRule="auto"/>
        <w:ind w:left="0" w:firstLine="0"/>
      </w:pPr>
      <w:r>
        <w:t xml:space="preserve"> </w:t>
      </w:r>
    </w:p>
    <w:p w14:paraId="7207F709" w14:textId="77777777" w:rsidR="005D1823" w:rsidRDefault="003C0EB9">
      <w:pPr>
        <w:pStyle w:val="Heading2"/>
        <w:ind w:left="356"/>
      </w:pPr>
      <w:r>
        <w:t>7.1</w:t>
      </w:r>
      <w:r>
        <w:rPr>
          <w:rFonts w:ascii="Arial" w:eastAsia="Arial" w:hAnsi="Arial" w:cs="Arial"/>
        </w:rPr>
        <w:t xml:space="preserve"> </w:t>
      </w:r>
      <w:r>
        <w:t xml:space="preserve">Purpose </w:t>
      </w:r>
    </w:p>
    <w:p w14:paraId="369CFC0C" w14:textId="2D896204" w:rsidR="005D1823" w:rsidRDefault="003C0EB9">
      <w:pPr>
        <w:numPr>
          <w:ilvl w:val="0"/>
          <w:numId w:val="14"/>
        </w:numPr>
        <w:spacing w:after="52"/>
        <w:ind w:right="4" w:hanging="360"/>
      </w:pPr>
      <w:r>
        <w:t>The goal of the Mid-</w:t>
      </w:r>
      <w:r>
        <w:rPr>
          <w:rFonts w:cs="Calibri"/>
        </w:rPr>
        <w:t>Term Review of Assistant Professors is to assess the faculty member‘s mid</w:t>
      </w:r>
      <w:r>
        <w:t>-term progress toward tenure and promotion to Associate Professor. To accomplish this goal, faculty candidates compile a dossier that is nearly identical to the tenure and promotion dossier in terms of content (Section 6.3; College</w:t>
      </w:r>
      <w:r w:rsidR="00A002DE">
        <w:t>-</w:t>
      </w:r>
      <w:r>
        <w:t xml:space="preserve">Level Faculty Evaluation guidelines). Exceptions from the tenure and promotion dossier: </w:t>
      </w:r>
    </w:p>
    <w:p w14:paraId="3F7E21DD" w14:textId="0EB96670" w:rsidR="005D1823" w:rsidRDefault="003C0EB9">
      <w:pPr>
        <w:numPr>
          <w:ilvl w:val="0"/>
          <w:numId w:val="14"/>
        </w:numPr>
        <w:ind w:right="4" w:hanging="360"/>
      </w:pPr>
      <w:r>
        <w:t xml:space="preserve">Departmental review committees do not solicit letters from external referees. Instead, committees are strongly encouraged to obtain one or more </w:t>
      </w:r>
      <w:r w:rsidR="00E9640C">
        <w:t>review letters</w:t>
      </w:r>
      <w:r>
        <w:t xml:space="preserve"> from within the University, and  </w:t>
      </w:r>
    </w:p>
    <w:p w14:paraId="64E5FC64" w14:textId="77777777" w:rsidR="005D1823" w:rsidRDefault="003C0EB9">
      <w:pPr>
        <w:numPr>
          <w:ilvl w:val="0"/>
          <w:numId w:val="14"/>
        </w:numPr>
        <w:spacing w:after="0" w:line="266" w:lineRule="auto"/>
        <w:ind w:right="4" w:hanging="360"/>
      </w:pPr>
      <w:r>
        <w:rPr>
          <w:rFonts w:cs="Calibri"/>
        </w:rPr>
        <w:t xml:space="preserve">The faculty candidate‘s dossier does not proceed beyond the College. </w:t>
      </w:r>
      <w:r>
        <w:t xml:space="preserve"> </w:t>
      </w:r>
    </w:p>
    <w:p w14:paraId="661071C0" w14:textId="28B19A5F" w:rsidR="005D1823" w:rsidRDefault="003C0EB9">
      <w:pPr>
        <w:numPr>
          <w:ilvl w:val="0"/>
          <w:numId w:val="14"/>
        </w:numPr>
        <w:spacing w:after="90"/>
        <w:ind w:right="4" w:hanging="360"/>
      </w:pPr>
      <w:r>
        <w:t>The Mid-</w:t>
      </w:r>
      <w:r>
        <w:rPr>
          <w:rFonts w:cs="Calibri"/>
        </w:rPr>
        <w:t xml:space="preserve">Term Review may result in an independent evaluation of the faculty members’ accomplishments in </w:t>
      </w:r>
      <w:r>
        <w:t>order to provide guidance as the faculty member continues through the probationary period. If the tenure</w:t>
      </w:r>
      <w:r w:rsidR="005250E8">
        <w:t>-</w:t>
      </w:r>
      <w:r>
        <w:t xml:space="preserve">track faculty member is not progressing adequately toward the requirements for tenure, action to not renew the contract of the individual might be appropriate.  </w:t>
      </w:r>
    </w:p>
    <w:p w14:paraId="1FE8C265" w14:textId="77777777" w:rsidR="005D1823" w:rsidRDefault="003C0EB9">
      <w:pPr>
        <w:spacing w:after="87" w:line="259" w:lineRule="auto"/>
        <w:ind w:left="361" w:firstLine="0"/>
      </w:pPr>
      <w:r>
        <w:t xml:space="preserve"> </w:t>
      </w:r>
    </w:p>
    <w:p w14:paraId="3F7668E5" w14:textId="77777777" w:rsidR="005D1823" w:rsidRDefault="003C0EB9">
      <w:pPr>
        <w:pStyle w:val="Heading2"/>
        <w:ind w:left="356"/>
      </w:pPr>
      <w:r>
        <w:t>7.2</w:t>
      </w:r>
      <w:r>
        <w:rPr>
          <w:rFonts w:ascii="Arial" w:eastAsia="Arial" w:hAnsi="Arial" w:cs="Arial"/>
        </w:rPr>
        <w:t xml:space="preserve"> </w:t>
      </w:r>
      <w:r>
        <w:t xml:space="preserve">Process </w:t>
      </w:r>
    </w:p>
    <w:p w14:paraId="3CA2E89E" w14:textId="1C62508C" w:rsidR="005D1823" w:rsidRDefault="003C0EB9">
      <w:pPr>
        <w:ind w:left="931" w:right="4"/>
      </w:pPr>
      <w:r>
        <w:t xml:space="preserve">The mid-term review should be conducted between March of the academic year </w:t>
      </w:r>
      <w:r>
        <w:rPr>
          <w:rFonts w:cs="Calibri"/>
          <w:i/>
        </w:rPr>
        <w:t>prior</w:t>
      </w:r>
      <w:r>
        <w:t xml:space="preserve"> to the target academic year, and December of the target year.  For example, if the mid-term review is due during the academic year, the mid-term review may occur and be completed with recommendation and feedback provided to the faculty member, anytime between March and December of that year.  See below example for faculty member hired in calendar year</w:t>
      </w:r>
      <w:r w:rsidR="00F210AB">
        <w:t xml:space="preserve"> 2022. </w:t>
      </w:r>
      <w:r>
        <w:t xml:space="preserve"> </w:t>
      </w:r>
    </w:p>
    <w:p w14:paraId="50C2BD8E" w14:textId="77777777" w:rsidR="005D1823" w:rsidRDefault="003C0EB9">
      <w:pPr>
        <w:spacing w:after="0" w:line="259" w:lineRule="auto"/>
        <w:ind w:left="790" w:firstLine="0"/>
        <w:jc w:val="center"/>
      </w:pPr>
      <w:r>
        <w:t xml:space="preserve"> </w:t>
      </w:r>
    </w:p>
    <w:tbl>
      <w:tblPr>
        <w:tblStyle w:val="TableGrid"/>
        <w:tblW w:w="7471" w:type="dxa"/>
        <w:tblInd w:w="1692" w:type="dxa"/>
        <w:tblCellMar>
          <w:top w:w="49" w:type="dxa"/>
          <w:left w:w="109" w:type="dxa"/>
          <w:right w:w="58" w:type="dxa"/>
        </w:tblCellMar>
        <w:tblLook w:val="04A0" w:firstRow="1" w:lastRow="0" w:firstColumn="1" w:lastColumn="0" w:noHBand="0" w:noVBand="1"/>
      </w:tblPr>
      <w:tblGrid>
        <w:gridCol w:w="2180"/>
        <w:gridCol w:w="1421"/>
        <w:gridCol w:w="3870"/>
      </w:tblGrid>
      <w:tr w:rsidR="005D1823" w14:paraId="4C16EE8F" w14:textId="77777777">
        <w:trPr>
          <w:trHeight w:val="823"/>
        </w:trPr>
        <w:tc>
          <w:tcPr>
            <w:tcW w:w="2180" w:type="dxa"/>
            <w:tcBorders>
              <w:top w:val="single" w:sz="4" w:space="0" w:color="000000"/>
              <w:left w:val="single" w:sz="4" w:space="0" w:color="000000"/>
              <w:bottom w:val="single" w:sz="4" w:space="0" w:color="000000"/>
              <w:right w:val="single" w:sz="4" w:space="0" w:color="000000"/>
            </w:tcBorders>
            <w:shd w:val="clear" w:color="auto" w:fill="D9D9D9"/>
          </w:tcPr>
          <w:p w14:paraId="59EEC75A" w14:textId="77777777" w:rsidR="005D1823" w:rsidRDefault="003C0EB9">
            <w:pPr>
              <w:spacing w:after="0" w:line="259" w:lineRule="auto"/>
              <w:ind w:left="0" w:firstLine="0"/>
              <w:jc w:val="both"/>
            </w:pPr>
            <w:r>
              <w:rPr>
                <w:b/>
              </w:rPr>
              <w:t xml:space="preserve">First year in probationary period </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Pr>
          <w:p w14:paraId="3862AE93" w14:textId="77777777" w:rsidR="005D1823" w:rsidRDefault="003C0EB9">
            <w:pPr>
              <w:spacing w:after="20" w:line="259" w:lineRule="auto"/>
              <w:ind w:left="1" w:firstLine="0"/>
            </w:pPr>
            <w:r>
              <w:rPr>
                <w:b/>
              </w:rPr>
              <w:t xml:space="preserve">Probationary </w:t>
            </w:r>
          </w:p>
          <w:p w14:paraId="3CCFFFF0" w14:textId="77777777" w:rsidR="005D1823" w:rsidRDefault="003C0EB9">
            <w:pPr>
              <w:spacing w:after="0" w:line="259" w:lineRule="auto"/>
              <w:ind w:left="0" w:right="44" w:firstLine="0"/>
              <w:jc w:val="center"/>
            </w:pPr>
            <w:r>
              <w:rPr>
                <w:b/>
              </w:rPr>
              <w:t xml:space="preserve">Period </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Pr>
          <w:p w14:paraId="129A7F6B" w14:textId="77777777" w:rsidR="005D1823" w:rsidRDefault="003C0EB9">
            <w:pPr>
              <w:spacing w:after="0" w:line="259" w:lineRule="auto"/>
              <w:ind w:left="0" w:right="51" w:firstLine="0"/>
              <w:jc w:val="center"/>
            </w:pPr>
            <w:r>
              <w:rPr>
                <w:b/>
              </w:rPr>
              <w:t xml:space="preserve">Mid-Term Review will occur between </w:t>
            </w:r>
          </w:p>
        </w:tc>
      </w:tr>
      <w:tr w:rsidR="005D1823" w14:paraId="24083D44" w14:textId="77777777">
        <w:trPr>
          <w:trHeight w:val="857"/>
        </w:trPr>
        <w:tc>
          <w:tcPr>
            <w:tcW w:w="2180" w:type="dxa"/>
            <w:tcBorders>
              <w:top w:val="single" w:sz="4" w:space="0" w:color="000000"/>
              <w:left w:val="single" w:sz="4" w:space="0" w:color="000000"/>
              <w:bottom w:val="single" w:sz="4" w:space="0" w:color="000000"/>
              <w:right w:val="single" w:sz="4" w:space="0" w:color="000000"/>
            </w:tcBorders>
          </w:tcPr>
          <w:p w14:paraId="26CAB0C1" w14:textId="77777777" w:rsidR="005D1823" w:rsidRDefault="003C0EB9">
            <w:pPr>
              <w:spacing w:after="0" w:line="259" w:lineRule="auto"/>
              <w:ind w:left="0" w:right="56" w:firstLine="0"/>
              <w:jc w:val="center"/>
            </w:pPr>
            <w:r>
              <w:t xml:space="preserve">2022-2023 </w:t>
            </w:r>
          </w:p>
        </w:tc>
        <w:tc>
          <w:tcPr>
            <w:tcW w:w="1421" w:type="dxa"/>
            <w:tcBorders>
              <w:top w:val="single" w:sz="4" w:space="0" w:color="000000"/>
              <w:left w:val="single" w:sz="4" w:space="0" w:color="000000"/>
              <w:bottom w:val="single" w:sz="4" w:space="0" w:color="000000"/>
              <w:right w:val="single" w:sz="4" w:space="0" w:color="000000"/>
            </w:tcBorders>
          </w:tcPr>
          <w:p w14:paraId="48EB968F" w14:textId="77777777" w:rsidR="005D1823" w:rsidRDefault="003C0EB9">
            <w:pPr>
              <w:spacing w:after="0" w:line="259" w:lineRule="auto"/>
              <w:ind w:left="0" w:right="56" w:firstLine="0"/>
              <w:jc w:val="center"/>
            </w:pPr>
            <w:r>
              <w:t xml:space="preserve">7 years </w:t>
            </w:r>
          </w:p>
        </w:tc>
        <w:tc>
          <w:tcPr>
            <w:tcW w:w="3870" w:type="dxa"/>
            <w:tcBorders>
              <w:top w:val="single" w:sz="4" w:space="0" w:color="000000"/>
              <w:left w:val="single" w:sz="4" w:space="0" w:color="000000"/>
              <w:bottom w:val="single" w:sz="4" w:space="0" w:color="000000"/>
              <w:right w:val="single" w:sz="4" w:space="0" w:color="000000"/>
            </w:tcBorders>
          </w:tcPr>
          <w:p w14:paraId="10FBB981" w14:textId="799B94A6" w:rsidR="005D1823" w:rsidRDefault="003C0EB9">
            <w:pPr>
              <w:spacing w:after="0" w:line="259" w:lineRule="auto"/>
              <w:ind w:left="0" w:right="43" w:firstLine="0"/>
              <w:jc w:val="center"/>
            </w:pPr>
            <w:r>
              <w:t>March-</w:t>
            </w:r>
            <w:r w:rsidR="005250E8">
              <w:t xml:space="preserve">December </w:t>
            </w:r>
            <w:r>
              <w:t xml:space="preserve">  2025 </w:t>
            </w:r>
          </w:p>
        </w:tc>
      </w:tr>
    </w:tbl>
    <w:p w14:paraId="6B232468" w14:textId="77777777" w:rsidR="005D1823" w:rsidRDefault="003C0EB9">
      <w:pPr>
        <w:spacing w:after="0" w:line="259" w:lineRule="auto"/>
        <w:ind w:left="320" w:firstLine="0"/>
        <w:jc w:val="center"/>
      </w:pPr>
      <w:r>
        <w:rPr>
          <w:rFonts w:cs="Calibri"/>
          <w:b/>
        </w:rPr>
        <w:t xml:space="preserve">      </w:t>
      </w:r>
    </w:p>
    <w:p w14:paraId="3E38874B" w14:textId="77777777" w:rsidR="005D1823" w:rsidRDefault="003C0EB9">
      <w:pPr>
        <w:spacing w:after="87" w:line="259" w:lineRule="auto"/>
        <w:ind w:left="361" w:firstLine="0"/>
      </w:pPr>
      <w:r>
        <w:t xml:space="preserve"> </w:t>
      </w:r>
    </w:p>
    <w:p w14:paraId="19AB1619" w14:textId="77777777" w:rsidR="005D1823" w:rsidRDefault="003C0EB9">
      <w:pPr>
        <w:pStyle w:val="Heading2"/>
        <w:ind w:left="356"/>
      </w:pPr>
      <w:r>
        <w:t>7.3</w:t>
      </w:r>
      <w:r>
        <w:rPr>
          <w:rFonts w:ascii="Arial" w:eastAsia="Arial" w:hAnsi="Arial" w:cs="Arial"/>
        </w:rPr>
        <w:t xml:space="preserve"> </w:t>
      </w:r>
      <w:r>
        <w:t xml:space="preserve">Feedback from midterm review </w:t>
      </w:r>
    </w:p>
    <w:p w14:paraId="537B8C5B" w14:textId="77777777" w:rsidR="005D1823" w:rsidRDefault="003C0EB9">
      <w:pPr>
        <w:numPr>
          <w:ilvl w:val="0"/>
          <w:numId w:val="15"/>
        </w:numPr>
        <w:spacing w:after="52"/>
        <w:ind w:right="4" w:hanging="360"/>
      </w:pPr>
      <w:r>
        <w:t xml:space="preserve">The Departmental T&amp;P Committee and Department head should produce written reports that mimic those </w:t>
      </w:r>
      <w:r>
        <w:rPr>
          <w:rFonts w:cs="Calibri"/>
        </w:rPr>
        <w:t xml:space="preserve">that are required for tenure and promotion dossiers. The Committee’s vote </w:t>
      </w:r>
      <w:r>
        <w:t xml:space="preserve">will consist of a yes/no vote indicating whether the voter thinks that the faculty member is making adequate progress toward promotion and/or tenure.  Reports of mid-term reviews will be reported to the Department Head, to be shared with the faculty member per university guidelines.   </w:t>
      </w:r>
    </w:p>
    <w:p w14:paraId="45C45FA4" w14:textId="77777777" w:rsidR="005D1823" w:rsidRDefault="003C0EB9">
      <w:pPr>
        <w:numPr>
          <w:ilvl w:val="0"/>
          <w:numId w:val="15"/>
        </w:numPr>
        <w:ind w:right="4" w:hanging="360"/>
      </w:pPr>
      <w:r>
        <w:lastRenderedPageBreak/>
        <w:t xml:space="preserve">The College T&amp;P Committee reviews the midterm review dossier and prepares its own report and vote. The report results and vote are added to the dossier and forwarded to the Dean, who in turn provides a written evaluation and recommendation. At this point, the contents of the dossier are returned to the Department Head for discussion with the faculty member (with the exception of the letter(s) of support from within the University).   </w:t>
      </w:r>
    </w:p>
    <w:p w14:paraId="5937ED7B" w14:textId="77777777" w:rsidR="00D600B6" w:rsidRDefault="00D600B6">
      <w:pPr>
        <w:pStyle w:val="Heading1"/>
        <w:ind w:left="356"/>
      </w:pPr>
    </w:p>
    <w:p w14:paraId="48575214" w14:textId="77777777" w:rsidR="00D600B6" w:rsidRDefault="00D600B6">
      <w:pPr>
        <w:pStyle w:val="Heading1"/>
        <w:ind w:left="356"/>
      </w:pPr>
    </w:p>
    <w:p w14:paraId="5B5AE319" w14:textId="77777777" w:rsidR="00D600B6" w:rsidRPr="00D600B6" w:rsidRDefault="00D600B6" w:rsidP="00D600B6">
      <w:pPr>
        <w:rPr>
          <w:lang w:val="en-US" w:eastAsia="en-US"/>
        </w:rPr>
      </w:pPr>
    </w:p>
    <w:p w14:paraId="3C7B3079" w14:textId="77777777" w:rsidR="00D600B6" w:rsidRDefault="00D600B6">
      <w:pPr>
        <w:pStyle w:val="Heading1"/>
        <w:ind w:left="356"/>
      </w:pPr>
    </w:p>
    <w:p w14:paraId="1995F597" w14:textId="5CFF5EAF" w:rsidR="005D1823" w:rsidRDefault="003C0EB9">
      <w:pPr>
        <w:pStyle w:val="Heading1"/>
        <w:ind w:left="356"/>
      </w:pPr>
      <w:r>
        <w:t xml:space="preserve">Section 8: Evaluation Criteria for Promotion and Tenure </w:t>
      </w:r>
    </w:p>
    <w:p w14:paraId="28FB619F" w14:textId="77777777" w:rsidR="005D1823" w:rsidRDefault="003C0EB9">
      <w:pPr>
        <w:spacing w:after="88" w:line="259" w:lineRule="auto"/>
        <w:ind w:left="361" w:firstLine="0"/>
      </w:pPr>
      <w:r>
        <w:t xml:space="preserve"> </w:t>
      </w:r>
    </w:p>
    <w:p w14:paraId="4EDCDA57" w14:textId="77777777" w:rsidR="005D1823" w:rsidRDefault="003C0EB9">
      <w:pPr>
        <w:pStyle w:val="Heading2"/>
        <w:ind w:left="356"/>
      </w:pPr>
      <w:r>
        <w:t>8.1</w:t>
      </w:r>
      <w:r>
        <w:rPr>
          <w:rFonts w:ascii="Arial" w:eastAsia="Arial" w:hAnsi="Arial" w:cs="Arial"/>
        </w:rPr>
        <w:t xml:space="preserve"> </w:t>
      </w:r>
      <w:r>
        <w:t xml:space="preserve">Evaluation Criteria for Promotion and Tenure </w:t>
      </w:r>
    </w:p>
    <w:p w14:paraId="09B123AF" w14:textId="77777777" w:rsidR="005D1823" w:rsidRDefault="003C0EB9">
      <w:pPr>
        <w:ind w:left="1091" w:right="4"/>
      </w:pPr>
      <w:r>
        <w:t xml:space="preserve">Faculty members should be evaluated for promotion and tenure on accomplishments in each of their areas of faculty performance (teaching, research/scholarly activity/creative work, and service), with primary emphasis on the </w:t>
      </w:r>
      <w:r>
        <w:rPr>
          <w:rFonts w:cs="Calibri"/>
          <w:b/>
        </w:rPr>
        <w:t>quality</w:t>
      </w:r>
      <w:r>
        <w:t xml:space="preserve">, </w:t>
      </w:r>
      <w:r>
        <w:rPr>
          <w:rFonts w:cs="Calibri"/>
          <w:b/>
        </w:rPr>
        <w:t>significance</w:t>
      </w:r>
      <w:r>
        <w:t xml:space="preserve">, and </w:t>
      </w:r>
      <w:r>
        <w:rPr>
          <w:rFonts w:cs="Calibri"/>
          <w:b/>
        </w:rPr>
        <w:t>impact</w:t>
      </w:r>
      <w:r>
        <w:t xml:space="preserve"> of their work.  For promotion and/or tenure, in addition to meritorious accomplishments, a high potential for continued excellence is required.  Documentation of excellence is best provided by peer review.  The criteria are as follows: </w:t>
      </w:r>
    </w:p>
    <w:p w14:paraId="6BB2AF83" w14:textId="77777777" w:rsidR="005D1823" w:rsidRDefault="003C0EB9">
      <w:pPr>
        <w:spacing w:after="71" w:line="259" w:lineRule="auto"/>
        <w:ind w:left="546" w:firstLine="0"/>
      </w:pPr>
      <w:r>
        <w:t xml:space="preserve"> </w:t>
      </w:r>
    </w:p>
    <w:p w14:paraId="4104249C" w14:textId="77777777" w:rsidR="005D1823" w:rsidRDefault="003C0EB9">
      <w:pPr>
        <w:pStyle w:val="Heading4"/>
        <w:spacing w:after="54"/>
        <w:ind w:left="356"/>
      </w:pPr>
      <w:r>
        <w:t>8.1.1</w:t>
      </w:r>
      <w:r>
        <w:rPr>
          <w:rFonts w:ascii="Arial" w:eastAsia="Arial" w:hAnsi="Arial" w:cs="Arial"/>
        </w:rPr>
        <w:t xml:space="preserve"> </w:t>
      </w:r>
      <w:r>
        <w:t xml:space="preserve">Promotion to Associate Professor </w:t>
      </w:r>
    </w:p>
    <w:p w14:paraId="4C2A66BF" w14:textId="77777777" w:rsidR="005D1823" w:rsidRDefault="003C0EB9">
      <w:pPr>
        <w:numPr>
          <w:ilvl w:val="0"/>
          <w:numId w:val="16"/>
        </w:numPr>
        <w:spacing w:after="5" w:line="249" w:lineRule="auto"/>
        <w:ind w:left="1427" w:hanging="361"/>
      </w:pPr>
      <w:r>
        <w:rPr>
          <w:sz w:val="23"/>
        </w:rPr>
        <w:t>Has demonstrated excellence as measured against the contributions of others in the field at comparable career stages and institutions, where those accomplishments are evidenced by criteria listed above (e.g., outcomes such as publications, grants, and, where applicable, other peer-reviewed, high-impact products</w:t>
      </w:r>
      <w:proofErr w:type="gramStart"/>
      <w:r>
        <w:rPr>
          <w:sz w:val="23"/>
        </w:rPr>
        <w:t>);</w:t>
      </w:r>
      <w:proofErr w:type="gramEnd"/>
      <w:r>
        <w:t xml:space="preserve"> </w:t>
      </w:r>
    </w:p>
    <w:p w14:paraId="11B499A9" w14:textId="77777777" w:rsidR="005D1823" w:rsidRDefault="003C0EB9">
      <w:pPr>
        <w:numPr>
          <w:ilvl w:val="0"/>
          <w:numId w:val="16"/>
        </w:numPr>
        <w:ind w:left="1427" w:hanging="361"/>
      </w:pPr>
      <w:r>
        <w:t xml:space="preserve">Has typically obtained at least one, and generally more than one, federal IDC-bearing grant as lead </w:t>
      </w:r>
      <w:proofErr w:type="gramStart"/>
      <w:r>
        <w:t>PI;</w:t>
      </w:r>
      <w:proofErr w:type="gramEnd"/>
      <w:r>
        <w:t xml:space="preserve"> </w:t>
      </w:r>
    </w:p>
    <w:p w14:paraId="5877ADED" w14:textId="77777777" w:rsidR="005D1823" w:rsidRDefault="003C0EB9">
      <w:pPr>
        <w:numPr>
          <w:ilvl w:val="0"/>
          <w:numId w:val="16"/>
        </w:numPr>
        <w:spacing w:after="41" w:line="249" w:lineRule="auto"/>
        <w:ind w:left="1427" w:hanging="361"/>
      </w:pPr>
      <w:proofErr w:type="gramStart"/>
      <w:r>
        <w:rPr>
          <w:sz w:val="23"/>
        </w:rPr>
        <w:t>Has</w:t>
      </w:r>
      <w:proofErr w:type="gramEnd"/>
      <w:r>
        <w:rPr>
          <w:sz w:val="23"/>
        </w:rPr>
        <w:t xml:space="preserve"> displayed professional conduct conducive to a collegial work environment and standards of professional integrity that will advance the interests of Texas A&amp;M </w:t>
      </w:r>
      <w:proofErr w:type="gramStart"/>
      <w:r>
        <w:rPr>
          <w:sz w:val="23"/>
        </w:rPr>
        <w:t>University;</w:t>
      </w:r>
      <w:proofErr w:type="gramEnd"/>
      <w:r>
        <w:rPr>
          <w:sz w:val="23"/>
        </w:rPr>
        <w:t xml:space="preserve"> </w:t>
      </w:r>
    </w:p>
    <w:p w14:paraId="02584C85" w14:textId="77777777" w:rsidR="005D1823" w:rsidRDefault="003C0EB9">
      <w:pPr>
        <w:numPr>
          <w:ilvl w:val="0"/>
          <w:numId w:val="16"/>
        </w:numPr>
        <w:spacing w:after="41" w:line="249" w:lineRule="auto"/>
        <w:ind w:left="1427" w:hanging="361"/>
      </w:pPr>
      <w:r>
        <w:rPr>
          <w:sz w:val="23"/>
        </w:rPr>
        <w:t xml:space="preserve">Has expertise in one or more areas germane to the programs of the Department of Geology &amp; </w:t>
      </w:r>
      <w:proofErr w:type="gramStart"/>
      <w:r>
        <w:rPr>
          <w:sz w:val="23"/>
        </w:rPr>
        <w:t>Geophysics;</w:t>
      </w:r>
      <w:proofErr w:type="gramEnd"/>
      <w:r>
        <w:rPr>
          <w:sz w:val="23"/>
        </w:rPr>
        <w:t xml:space="preserve"> </w:t>
      </w:r>
    </w:p>
    <w:p w14:paraId="107C419E" w14:textId="77777777" w:rsidR="005D1823" w:rsidRDefault="003C0EB9">
      <w:pPr>
        <w:numPr>
          <w:ilvl w:val="0"/>
          <w:numId w:val="16"/>
        </w:numPr>
        <w:spacing w:after="5" w:line="249" w:lineRule="auto"/>
        <w:ind w:left="1427" w:hanging="361"/>
      </w:pPr>
      <w:r>
        <w:rPr>
          <w:sz w:val="23"/>
        </w:rPr>
        <w:t xml:space="preserve">Has shown evidence of successful graduate student supervision, typically of PhD students, but at least at the MS level; and </w:t>
      </w:r>
    </w:p>
    <w:p w14:paraId="09EDFFD4" w14:textId="2EF5E6FE" w:rsidR="005D1823" w:rsidRDefault="003C0EB9">
      <w:pPr>
        <w:numPr>
          <w:ilvl w:val="0"/>
          <w:numId w:val="16"/>
        </w:numPr>
        <w:spacing w:after="5" w:line="249" w:lineRule="auto"/>
        <w:ind w:left="1427" w:hanging="361"/>
      </w:pPr>
      <w:r>
        <w:rPr>
          <w:sz w:val="23"/>
        </w:rPr>
        <w:t>Has demonstrated a commitment to maintaining the level of excellence in teaching (both undergraduate and graduate)</w:t>
      </w:r>
      <w:r w:rsidR="00EB5D02">
        <w:rPr>
          <w:sz w:val="23"/>
        </w:rPr>
        <w:t>,</w:t>
      </w:r>
      <w:r>
        <w:rPr>
          <w:sz w:val="23"/>
        </w:rPr>
        <w:t xml:space="preserve"> research</w:t>
      </w:r>
      <w:r w:rsidR="00BE3A54">
        <w:rPr>
          <w:sz w:val="23"/>
        </w:rPr>
        <w:t>,</w:t>
      </w:r>
      <w:r>
        <w:rPr>
          <w:sz w:val="23"/>
        </w:rPr>
        <w:t xml:space="preserve"> </w:t>
      </w:r>
      <w:r w:rsidR="00EB5D02">
        <w:rPr>
          <w:sz w:val="23"/>
        </w:rPr>
        <w:t xml:space="preserve">and service </w:t>
      </w:r>
      <w:r>
        <w:rPr>
          <w:sz w:val="23"/>
        </w:rPr>
        <w:t>expected of a tenured faculty member</w:t>
      </w:r>
      <w:r>
        <w:t xml:space="preserve">. </w:t>
      </w:r>
    </w:p>
    <w:p w14:paraId="0A7C1FB1" w14:textId="77777777" w:rsidR="005D1823" w:rsidRDefault="003C0EB9">
      <w:pPr>
        <w:spacing w:after="70" w:line="259" w:lineRule="auto"/>
        <w:ind w:left="1991" w:firstLine="0"/>
      </w:pPr>
      <w:r>
        <w:t xml:space="preserve"> </w:t>
      </w:r>
    </w:p>
    <w:p w14:paraId="56D87B34" w14:textId="77777777" w:rsidR="005D1823" w:rsidRDefault="003C0EB9">
      <w:pPr>
        <w:pStyle w:val="Heading4"/>
        <w:spacing w:after="60"/>
        <w:ind w:left="356"/>
      </w:pPr>
      <w:r>
        <w:t>8.1.2</w:t>
      </w:r>
      <w:r>
        <w:rPr>
          <w:rFonts w:ascii="Arial" w:eastAsia="Arial" w:hAnsi="Arial" w:cs="Arial"/>
        </w:rPr>
        <w:t xml:space="preserve"> </w:t>
      </w:r>
      <w:r>
        <w:t xml:space="preserve">Promotion to Professor </w:t>
      </w:r>
    </w:p>
    <w:p w14:paraId="49FB52AE" w14:textId="77777777" w:rsidR="005D1823" w:rsidRDefault="003C0EB9">
      <w:pPr>
        <w:numPr>
          <w:ilvl w:val="0"/>
          <w:numId w:val="17"/>
        </w:numPr>
        <w:spacing w:after="36" w:line="249" w:lineRule="auto"/>
        <w:ind w:left="1427" w:hanging="361"/>
      </w:pPr>
      <w:r>
        <w:rPr>
          <w:sz w:val="23"/>
        </w:rPr>
        <w:t>Has demonstrated continued excellence in at least one of three domains - teaching, scholarship or service - and an appropriately high level of accomplishment in the other two (evidenced by criteria listed above</w:t>
      </w:r>
      <w:proofErr w:type="gramStart"/>
      <w:r>
        <w:rPr>
          <w:sz w:val="23"/>
        </w:rPr>
        <w:t>);</w:t>
      </w:r>
      <w:proofErr w:type="gramEnd"/>
      <w:r>
        <w:rPr>
          <w:sz w:val="23"/>
        </w:rPr>
        <w:t xml:space="preserve"> </w:t>
      </w:r>
    </w:p>
    <w:p w14:paraId="499FC06A" w14:textId="77777777" w:rsidR="005D1823" w:rsidRDefault="003C0EB9">
      <w:pPr>
        <w:numPr>
          <w:ilvl w:val="0"/>
          <w:numId w:val="17"/>
        </w:numPr>
        <w:spacing w:after="5" w:line="249" w:lineRule="auto"/>
        <w:ind w:left="1427" w:hanging="361"/>
      </w:pPr>
      <w:r>
        <w:rPr>
          <w:sz w:val="23"/>
        </w:rPr>
        <w:t xml:space="preserve">Has shown evidence of successful graduate student supervision of PhD students; and </w:t>
      </w:r>
    </w:p>
    <w:p w14:paraId="10A58F3B" w14:textId="77777777" w:rsidR="005D1823" w:rsidRDefault="003C0EB9">
      <w:pPr>
        <w:numPr>
          <w:ilvl w:val="0"/>
          <w:numId w:val="17"/>
        </w:numPr>
        <w:spacing w:after="5" w:line="249" w:lineRule="auto"/>
        <w:ind w:left="1427" w:hanging="361"/>
      </w:pPr>
      <w:r>
        <w:rPr>
          <w:sz w:val="23"/>
        </w:rPr>
        <w:t xml:space="preserve">Has achieved substantial international recognition in research or another form of creative activity. </w:t>
      </w:r>
    </w:p>
    <w:p w14:paraId="3A74936A" w14:textId="77777777" w:rsidR="005D1823" w:rsidRDefault="003C0EB9">
      <w:pPr>
        <w:spacing w:after="70" w:line="259" w:lineRule="auto"/>
        <w:ind w:left="721" w:firstLine="0"/>
      </w:pPr>
      <w:r>
        <w:t xml:space="preserve"> </w:t>
      </w:r>
    </w:p>
    <w:p w14:paraId="25482034" w14:textId="77777777" w:rsidR="005D1823" w:rsidRDefault="003C0EB9">
      <w:pPr>
        <w:pStyle w:val="Heading4"/>
        <w:ind w:left="356"/>
      </w:pPr>
      <w:r>
        <w:lastRenderedPageBreak/>
        <w:t>8.1.3</w:t>
      </w:r>
      <w:r>
        <w:rPr>
          <w:rFonts w:ascii="Arial" w:eastAsia="Arial" w:hAnsi="Arial" w:cs="Arial"/>
        </w:rPr>
        <w:t xml:space="preserve"> </w:t>
      </w:r>
      <w:r>
        <w:t xml:space="preserve">Evaluation Criteria for Academic Professional Track Faculty (Non-Tenure Track) </w:t>
      </w:r>
    </w:p>
    <w:p w14:paraId="5B08246F" w14:textId="77777777" w:rsidR="005D1823" w:rsidRDefault="003C0EB9">
      <w:pPr>
        <w:ind w:left="1091" w:right="4"/>
      </w:pPr>
      <w:r>
        <w:t xml:space="preserve">For appointment and promotion in the academic professional track (non-tenure track), faculty members should be evaluated in their assigned areas of faculty performance.  For example, faculty with Research in their title will be evaluated with a primary emphasis on the quality and impact of their research/scholarly/creative work activities as defined in section 4, above.  Faculty with Instructor in their title will be evaluated with a primary emphasis on the quality and impact of their teaching activities as defined in section 4, above.  For promotion, in addition to meritorious accomplishments, a high potential for continued excellence is expected for Academic Professional Track Faculty.   </w:t>
      </w:r>
    </w:p>
    <w:p w14:paraId="626AA358" w14:textId="77777777" w:rsidR="005D1823" w:rsidRDefault="003C0EB9">
      <w:pPr>
        <w:spacing w:after="70" w:line="259" w:lineRule="auto"/>
        <w:ind w:left="721" w:firstLine="0"/>
      </w:pPr>
      <w:r>
        <w:t xml:space="preserve"> </w:t>
      </w:r>
    </w:p>
    <w:p w14:paraId="30094BD3" w14:textId="77777777" w:rsidR="005D1823" w:rsidRDefault="003C0EB9">
      <w:pPr>
        <w:pStyle w:val="Heading4"/>
        <w:ind w:left="356"/>
      </w:pPr>
      <w:r>
        <w:t>8.1.4</w:t>
      </w:r>
      <w:r>
        <w:rPr>
          <w:rFonts w:ascii="Arial" w:eastAsia="Arial" w:hAnsi="Arial" w:cs="Arial"/>
        </w:rPr>
        <w:t xml:space="preserve"> </w:t>
      </w:r>
      <w:r>
        <w:t xml:space="preserve">Process for tenure and promotion in the College of Arts &amp; Sciences </w:t>
      </w:r>
    </w:p>
    <w:p w14:paraId="6FAEA3DC" w14:textId="77777777" w:rsidR="005D1823" w:rsidRDefault="003C0EB9">
      <w:pPr>
        <w:ind w:left="1091" w:right="4"/>
      </w:pPr>
      <w:r>
        <w:t xml:space="preserve">The review process for tenure and promotion is described in the College of Arts &amp; Sciences Faculty Evaluation Guidelines. </w:t>
      </w:r>
    </w:p>
    <w:p w14:paraId="19D11055" w14:textId="77777777" w:rsidR="005D1823" w:rsidRDefault="003C0EB9">
      <w:pPr>
        <w:spacing w:after="0" w:line="259" w:lineRule="auto"/>
        <w:ind w:left="721" w:firstLine="0"/>
      </w:pPr>
      <w:r>
        <w:t xml:space="preserve"> </w:t>
      </w:r>
    </w:p>
    <w:p w14:paraId="046C4574" w14:textId="77777777" w:rsidR="005D1823" w:rsidRDefault="003C0EB9">
      <w:pPr>
        <w:spacing w:after="0" w:line="259" w:lineRule="auto"/>
        <w:ind w:left="721" w:firstLine="0"/>
      </w:pPr>
      <w:r>
        <w:t xml:space="preserve"> </w:t>
      </w:r>
    </w:p>
    <w:p w14:paraId="48B12BF0" w14:textId="77777777" w:rsidR="005D1823" w:rsidRDefault="003C0EB9">
      <w:pPr>
        <w:pStyle w:val="Heading1"/>
        <w:ind w:left="356"/>
      </w:pPr>
      <w:r>
        <w:t xml:space="preserve">Section 9:  Post-Tenure Review </w:t>
      </w:r>
    </w:p>
    <w:p w14:paraId="4FEF63E3" w14:textId="77777777" w:rsidR="005D1823" w:rsidRDefault="003C0EB9">
      <w:pPr>
        <w:spacing w:after="0" w:line="259" w:lineRule="auto"/>
        <w:ind w:left="721" w:firstLine="0"/>
      </w:pPr>
      <w:r>
        <w:t xml:space="preserve"> </w:t>
      </w:r>
    </w:p>
    <w:p w14:paraId="2DD7E32B" w14:textId="60819ACE" w:rsidR="005D1823" w:rsidRDefault="003C0EB9">
      <w:pPr>
        <w:spacing w:after="128"/>
        <w:ind w:right="4"/>
      </w:pPr>
      <w:r>
        <w:t xml:space="preserve">In accordance with </w:t>
      </w:r>
      <w:hyperlink r:id="rId53">
        <w:r>
          <w:rPr>
            <w:u w:val="single" w:color="000000"/>
          </w:rPr>
          <w:t>University SAP 12.06.99.M0.01</w:t>
        </w:r>
      </w:hyperlink>
      <w:hyperlink r:id="rId54">
        <w:r>
          <w:t xml:space="preserve"> </w:t>
        </w:r>
      </w:hyperlink>
      <w:r>
        <w:t xml:space="preserve">(Post-Tenure Review), post-tenure review applies to tenured faculty members and is intended to promote continued academic professional development.  Post-tenure review also enables a faculty member who has fallen below performance norms to pursue a peer-coordinated professional development plan that should enable them to return to expected levels of productivity.   </w:t>
      </w:r>
    </w:p>
    <w:p w14:paraId="4E32AB15" w14:textId="77777777" w:rsidR="005D1823" w:rsidRDefault="003C0EB9">
      <w:pPr>
        <w:spacing w:after="160"/>
        <w:ind w:right="4"/>
      </w:pPr>
      <w:r>
        <w:t xml:space="preserve">There are two different levels of post-tenure review: </w:t>
      </w:r>
    </w:p>
    <w:p w14:paraId="08DA22E4" w14:textId="77777777" w:rsidR="005D1823" w:rsidRDefault="003C0EB9">
      <w:pPr>
        <w:numPr>
          <w:ilvl w:val="0"/>
          <w:numId w:val="18"/>
        </w:numPr>
        <w:ind w:right="4" w:hanging="360"/>
      </w:pPr>
      <w:r>
        <w:t xml:space="preserve">Annual performance reviews (see Section 6 of these guidelines) conducted by the Executive Committee and Department Head.  </w:t>
      </w:r>
    </w:p>
    <w:p w14:paraId="33794BA3" w14:textId="564A4CCA" w:rsidR="005D1823" w:rsidRDefault="003C0EB9">
      <w:pPr>
        <w:numPr>
          <w:ilvl w:val="0"/>
          <w:numId w:val="18"/>
        </w:numPr>
        <w:ind w:right="4" w:hanging="360"/>
      </w:pPr>
      <w:r>
        <w:t xml:space="preserve">Periodic peer review by the Executive Committee and Department Head (see Section </w:t>
      </w:r>
      <w:r w:rsidR="00E9640C">
        <w:t>9</w:t>
      </w:r>
      <w:r>
        <w:t>.</w:t>
      </w:r>
      <w:r w:rsidR="00E9640C">
        <w:t>3</w:t>
      </w:r>
      <w:r>
        <w:t xml:space="preserve">.)   </w:t>
      </w:r>
    </w:p>
    <w:p w14:paraId="4F5778A4" w14:textId="77777777" w:rsidR="005D1823" w:rsidRDefault="003C0EB9">
      <w:pPr>
        <w:spacing w:after="86" w:line="259" w:lineRule="auto"/>
        <w:ind w:left="1081" w:firstLine="0"/>
      </w:pPr>
      <w:r>
        <w:t xml:space="preserve"> </w:t>
      </w:r>
    </w:p>
    <w:p w14:paraId="69BC0FE8" w14:textId="77777777" w:rsidR="005D1823" w:rsidRDefault="003C0EB9">
      <w:pPr>
        <w:pStyle w:val="Heading2"/>
        <w:ind w:left="356"/>
      </w:pPr>
      <w:r>
        <w:t>9.1</w:t>
      </w:r>
      <w:r>
        <w:rPr>
          <w:rFonts w:ascii="Arial" w:eastAsia="Arial" w:hAnsi="Arial" w:cs="Arial"/>
        </w:rPr>
        <w:t xml:space="preserve"> </w:t>
      </w:r>
      <w:r>
        <w:t xml:space="preserve">Purpose </w:t>
      </w:r>
    </w:p>
    <w:p w14:paraId="6EBB196F" w14:textId="77777777" w:rsidR="005D1823" w:rsidRDefault="003C0EB9">
      <w:pPr>
        <w:numPr>
          <w:ilvl w:val="0"/>
          <w:numId w:val="19"/>
        </w:numPr>
        <w:ind w:left="1442" w:right="4" w:hanging="446"/>
      </w:pPr>
      <w:r>
        <w:t xml:space="preserve">Assess whether the individual is making a contribution consistent with that expected of a tenured faculty member. </w:t>
      </w:r>
    </w:p>
    <w:p w14:paraId="1ACBB595" w14:textId="77777777" w:rsidR="005D1823" w:rsidRDefault="003C0EB9">
      <w:pPr>
        <w:numPr>
          <w:ilvl w:val="0"/>
          <w:numId w:val="19"/>
        </w:numPr>
        <w:ind w:left="1442" w:right="4" w:hanging="446"/>
      </w:pPr>
      <w:r>
        <w:t xml:space="preserve">Provide guidance for continuing and meaningful faculty development. </w:t>
      </w:r>
    </w:p>
    <w:p w14:paraId="1401CB28" w14:textId="77777777" w:rsidR="005D1823" w:rsidRDefault="003C0EB9">
      <w:pPr>
        <w:numPr>
          <w:ilvl w:val="0"/>
          <w:numId w:val="19"/>
        </w:numPr>
        <w:ind w:left="1442" w:right="4" w:hanging="446"/>
      </w:pPr>
      <w:r>
        <w:t xml:space="preserve">Assist faculty to enhance professional skills and goals/objectives. </w:t>
      </w:r>
    </w:p>
    <w:p w14:paraId="23DB6F96" w14:textId="77777777" w:rsidR="005D1823" w:rsidRDefault="003C0EB9">
      <w:pPr>
        <w:numPr>
          <w:ilvl w:val="0"/>
          <w:numId w:val="19"/>
        </w:numPr>
        <w:ind w:left="1442" w:right="4" w:hanging="446"/>
      </w:pPr>
      <w:r>
        <w:t xml:space="preserve">Refocus academic and professional efforts, when appropriate.  </w:t>
      </w:r>
    </w:p>
    <w:p w14:paraId="34548DDB" w14:textId="77777777" w:rsidR="005D1823" w:rsidRDefault="003C0EB9">
      <w:pPr>
        <w:spacing w:after="167" w:line="259" w:lineRule="auto"/>
        <w:ind w:left="361" w:firstLine="0"/>
      </w:pPr>
      <w:r>
        <w:t xml:space="preserve"> </w:t>
      </w:r>
    </w:p>
    <w:p w14:paraId="2AD2E586" w14:textId="77777777" w:rsidR="005D1823" w:rsidRDefault="003C0EB9">
      <w:pPr>
        <w:pStyle w:val="Heading2"/>
        <w:ind w:left="356"/>
      </w:pPr>
      <w:r>
        <w:t>9.2</w:t>
      </w:r>
      <w:r>
        <w:rPr>
          <w:rFonts w:ascii="Arial" w:eastAsia="Arial" w:hAnsi="Arial" w:cs="Arial"/>
        </w:rPr>
        <w:t xml:space="preserve"> </w:t>
      </w:r>
      <w:r>
        <w:t xml:space="preserve">Peer Review Committee </w:t>
      </w:r>
    </w:p>
    <w:p w14:paraId="77BC0CC9" w14:textId="41C362C7" w:rsidR="005D1823" w:rsidRDefault="003C0EB9">
      <w:pPr>
        <w:spacing w:after="275"/>
        <w:ind w:left="931" w:right="4"/>
      </w:pPr>
      <w:r>
        <w:t xml:space="preserve">The tenured faculty members of the Department Executive Committee </w:t>
      </w:r>
      <w:r w:rsidR="00F91327">
        <w:t xml:space="preserve">who are at same or higher rank that faculty undergoing Periodic Peer Review </w:t>
      </w:r>
      <w:r>
        <w:t xml:space="preserve">will constitute the Periodic Peer Review Committee. </w:t>
      </w:r>
      <w:r w:rsidR="00E9640C">
        <w:t xml:space="preserve">The Executive Committee is composed of the Associate Department Head and </w:t>
      </w:r>
      <w:r w:rsidR="00D5489B">
        <w:t>three</w:t>
      </w:r>
      <w:r w:rsidR="00E9640C">
        <w:t xml:space="preserve"> members elected by all department faculty and </w:t>
      </w:r>
      <w:r w:rsidR="00D5489B">
        <w:t>two</w:t>
      </w:r>
      <w:r w:rsidR="00E9640C">
        <w:t xml:space="preserve"> members appointed by the Department Head.  If the Executive Committee does not contain a minimum of 3 members at the same or higher rank of faculty undergoing Peer Review, additional members will be identified by the Department Head to form the Peer Review Committee.  </w:t>
      </w:r>
    </w:p>
    <w:p w14:paraId="04436353" w14:textId="77777777" w:rsidR="005D1823" w:rsidRDefault="003C0EB9">
      <w:pPr>
        <w:pStyle w:val="Heading2"/>
        <w:ind w:left="356"/>
      </w:pPr>
      <w:r>
        <w:lastRenderedPageBreak/>
        <w:t>9.3</w:t>
      </w:r>
      <w:r>
        <w:rPr>
          <w:rFonts w:ascii="Arial" w:eastAsia="Arial" w:hAnsi="Arial" w:cs="Arial"/>
        </w:rPr>
        <w:t xml:space="preserve"> </w:t>
      </w:r>
      <w:r>
        <w:t xml:space="preserve">Process for Periodic Peer Review </w:t>
      </w:r>
    </w:p>
    <w:p w14:paraId="284614A3" w14:textId="77777777" w:rsidR="005D1823" w:rsidRDefault="003C0EB9">
      <w:pPr>
        <w:spacing w:after="70" w:line="259" w:lineRule="auto"/>
        <w:ind w:left="1641" w:firstLine="0"/>
      </w:pPr>
      <w:r>
        <w:rPr>
          <w:rFonts w:cs="Calibri"/>
          <w:b/>
        </w:rPr>
        <w:t xml:space="preserve"> </w:t>
      </w:r>
    </w:p>
    <w:p w14:paraId="23926E82" w14:textId="77777777" w:rsidR="005D1823" w:rsidRDefault="003C0EB9">
      <w:pPr>
        <w:pStyle w:val="Heading4"/>
        <w:ind w:left="356"/>
      </w:pPr>
      <w:r>
        <w:t>9.3.1</w:t>
      </w:r>
      <w:r>
        <w:rPr>
          <w:rFonts w:ascii="Arial" w:eastAsia="Arial" w:hAnsi="Arial" w:cs="Arial"/>
        </w:rPr>
        <w:t xml:space="preserve"> </w:t>
      </w:r>
      <w:r>
        <w:t xml:space="preserve">Materials </w:t>
      </w:r>
    </w:p>
    <w:p w14:paraId="43A63B08" w14:textId="77777777" w:rsidR="005D1823" w:rsidRDefault="003C0EB9">
      <w:pPr>
        <w:spacing w:after="244"/>
        <w:ind w:left="1091" w:right="4"/>
      </w:pPr>
      <w:r>
        <w:t xml:space="preserve">Materials to be reviewed by Peer Review Committee: </w:t>
      </w:r>
    </w:p>
    <w:p w14:paraId="5B337886" w14:textId="77777777" w:rsidR="005D1823" w:rsidRDefault="003C0EB9">
      <w:pPr>
        <w:numPr>
          <w:ilvl w:val="0"/>
          <w:numId w:val="20"/>
        </w:numPr>
        <w:spacing w:after="45"/>
        <w:ind w:right="4" w:hanging="360"/>
      </w:pPr>
      <w:r>
        <w:t xml:space="preserve">Updated CV </w:t>
      </w:r>
    </w:p>
    <w:p w14:paraId="60A3859E" w14:textId="7B70BBF8" w:rsidR="005D1823" w:rsidRDefault="003C0EB9">
      <w:pPr>
        <w:numPr>
          <w:ilvl w:val="0"/>
          <w:numId w:val="20"/>
        </w:numPr>
        <w:spacing w:after="45"/>
        <w:ind w:right="4" w:hanging="360"/>
      </w:pPr>
      <w:r>
        <w:t xml:space="preserve">Annual review report for most recent </w:t>
      </w:r>
      <w:r w:rsidR="003559D4">
        <w:t xml:space="preserve">four </w:t>
      </w:r>
      <w:r>
        <w:t xml:space="preserve">years. </w:t>
      </w:r>
    </w:p>
    <w:p w14:paraId="7C49EF89" w14:textId="69C8A542" w:rsidR="005D1823" w:rsidRDefault="003C0EB9">
      <w:pPr>
        <w:numPr>
          <w:ilvl w:val="0"/>
          <w:numId w:val="20"/>
        </w:numPr>
        <w:ind w:right="4" w:hanging="360"/>
      </w:pPr>
      <w:r>
        <w:t xml:space="preserve">Additional materials provided by the faculty member being reviewed </w:t>
      </w:r>
      <w:r w:rsidR="008704CB">
        <w:t xml:space="preserve">(e.g., materials </w:t>
      </w:r>
      <w:r>
        <w:t xml:space="preserve">that show evidence of work in progress (optional). </w:t>
      </w:r>
    </w:p>
    <w:p w14:paraId="3B77659D" w14:textId="77777777" w:rsidR="005D1823" w:rsidRDefault="003C0EB9">
      <w:pPr>
        <w:spacing w:after="110" w:line="259" w:lineRule="auto"/>
        <w:ind w:left="1441" w:firstLine="0"/>
      </w:pPr>
      <w:r>
        <w:t xml:space="preserve"> </w:t>
      </w:r>
    </w:p>
    <w:p w14:paraId="6E8201D6" w14:textId="77777777" w:rsidR="005D1823" w:rsidRDefault="003C0EB9">
      <w:pPr>
        <w:pStyle w:val="Heading4"/>
        <w:ind w:left="356"/>
      </w:pPr>
      <w:r>
        <w:t>9.3.2</w:t>
      </w:r>
      <w:r>
        <w:rPr>
          <w:rFonts w:ascii="Arial" w:eastAsia="Arial" w:hAnsi="Arial" w:cs="Arial"/>
        </w:rPr>
        <w:t xml:space="preserve"> </w:t>
      </w:r>
      <w:r>
        <w:t xml:space="preserve">Responsibility of Peer Review Committee </w:t>
      </w:r>
    </w:p>
    <w:p w14:paraId="0C8D6BBA" w14:textId="77777777" w:rsidR="005D1823" w:rsidRDefault="003C0EB9">
      <w:pPr>
        <w:spacing w:after="258"/>
        <w:ind w:left="1091" w:right="4"/>
      </w:pPr>
      <w:r>
        <w:t xml:space="preserve">The Peer Review Committee will review the submitted materials and prepare a written evaluation of the faculty </w:t>
      </w:r>
      <w:r>
        <w:rPr>
          <w:rFonts w:cs="Calibri"/>
        </w:rPr>
        <w:t xml:space="preserve">member’s performance, providing an evaluation rating in the categories of assigned responsibilities, as well as </w:t>
      </w:r>
      <w:r>
        <w:t xml:space="preserve">an overall evaluation.  The criteria for the individual and overall performance the criteria established in the department guidelines and should be consistent with departmental annual performance ratings.  The evaluation of work in progress shall only be used only in Periodic Peer Review. (For the purposes of Annual Review, the Executive Committee only considers work that has already been published.) </w:t>
      </w:r>
    </w:p>
    <w:p w14:paraId="286A7126" w14:textId="77777777" w:rsidR="005D1823" w:rsidRDefault="003C0EB9">
      <w:pPr>
        <w:pStyle w:val="Heading4"/>
        <w:ind w:left="356"/>
      </w:pPr>
      <w:r>
        <w:t>9.3.3</w:t>
      </w:r>
      <w:r>
        <w:rPr>
          <w:rFonts w:ascii="Arial" w:eastAsia="Arial" w:hAnsi="Arial" w:cs="Arial"/>
        </w:rPr>
        <w:t xml:space="preserve"> </w:t>
      </w:r>
      <w:r>
        <w:t xml:space="preserve">Process for Each Rating of Review </w:t>
      </w:r>
    </w:p>
    <w:p w14:paraId="16838996" w14:textId="77777777" w:rsidR="005D1823" w:rsidRDefault="003C0EB9">
      <w:pPr>
        <w:spacing w:after="0" w:line="259" w:lineRule="auto"/>
        <w:ind w:left="1641" w:firstLine="0"/>
      </w:pPr>
      <w:r>
        <w:rPr>
          <w:rFonts w:cs="Calibri"/>
          <w:b/>
          <w:i/>
        </w:rPr>
        <w:t xml:space="preserve"> </w:t>
      </w:r>
    </w:p>
    <w:p w14:paraId="4F41FD9B" w14:textId="77777777" w:rsidR="005D1823" w:rsidRDefault="003C0EB9">
      <w:pPr>
        <w:pStyle w:val="Heading5"/>
        <w:tabs>
          <w:tab w:val="center" w:pos="658"/>
          <w:tab w:val="center" w:pos="1771"/>
        </w:tabs>
        <w:ind w:left="0" w:firstLine="0"/>
      </w:pPr>
      <w:r>
        <w:rPr>
          <w:rFonts w:ascii="Calibri" w:eastAsia="Calibri" w:hAnsi="Calibri" w:cs="Calibri"/>
          <w:i w:val="0"/>
          <w:color w:val="000000"/>
        </w:rPr>
        <w:tab/>
      </w:r>
      <w:r>
        <w:t>9.3.3.1</w:t>
      </w:r>
      <w:r>
        <w:rPr>
          <w:rFonts w:ascii="Arial" w:eastAsia="Arial" w:hAnsi="Arial" w:cs="Arial"/>
        </w:rPr>
        <w:t xml:space="preserve"> </w:t>
      </w:r>
      <w:r>
        <w:rPr>
          <w:rFonts w:ascii="Arial" w:eastAsia="Arial" w:hAnsi="Arial" w:cs="Arial"/>
        </w:rPr>
        <w:tab/>
      </w:r>
      <w:r>
        <w:t xml:space="preserve">Satisfactory </w:t>
      </w:r>
    </w:p>
    <w:p w14:paraId="31AB1367" w14:textId="77777777" w:rsidR="005D1823" w:rsidRDefault="003C0EB9">
      <w:pPr>
        <w:spacing w:after="230"/>
        <w:ind w:left="1236" w:right="4"/>
      </w:pPr>
      <w:r>
        <w:t xml:space="preserve">If all of the relevant review categories are satisfactory, the faculty member will be subjected to periodic peer review again in six </w:t>
      </w:r>
      <w:proofErr w:type="gramStart"/>
      <w:r>
        <w:t>years, or</w:t>
      </w:r>
      <w:proofErr w:type="gramEnd"/>
      <w:r>
        <w:t xml:space="preserve"> following three consecutive unsatisfactory annual evaluations by the department head, whichever is earlier. </w:t>
      </w:r>
    </w:p>
    <w:p w14:paraId="0B142612" w14:textId="77777777" w:rsidR="005D1823" w:rsidRDefault="003C0EB9">
      <w:pPr>
        <w:pStyle w:val="Heading5"/>
        <w:tabs>
          <w:tab w:val="center" w:pos="658"/>
          <w:tab w:val="center" w:pos="1890"/>
        </w:tabs>
        <w:ind w:left="0" w:firstLine="0"/>
      </w:pPr>
      <w:r>
        <w:rPr>
          <w:rFonts w:ascii="Calibri" w:eastAsia="Calibri" w:hAnsi="Calibri" w:cs="Calibri"/>
          <w:i w:val="0"/>
          <w:color w:val="000000"/>
        </w:rPr>
        <w:tab/>
      </w:r>
      <w:r>
        <w:t>9.3.3.2</w:t>
      </w:r>
      <w:r>
        <w:rPr>
          <w:rFonts w:ascii="Arial" w:eastAsia="Arial" w:hAnsi="Arial" w:cs="Arial"/>
        </w:rPr>
        <w:t xml:space="preserve"> </w:t>
      </w:r>
      <w:r>
        <w:rPr>
          <w:rFonts w:ascii="Arial" w:eastAsia="Arial" w:hAnsi="Arial" w:cs="Arial"/>
        </w:rPr>
        <w:tab/>
      </w:r>
      <w:r>
        <w:t xml:space="preserve">Unsatisfactory </w:t>
      </w:r>
    </w:p>
    <w:p w14:paraId="1F05373D" w14:textId="77777777" w:rsidR="005D1823" w:rsidRDefault="003C0EB9">
      <w:pPr>
        <w:spacing w:after="236"/>
        <w:ind w:left="1236" w:right="4"/>
      </w:pPr>
      <w:r>
        <w:rPr>
          <w:rFonts w:cs="Calibri"/>
        </w:rPr>
        <w:t xml:space="preserve">A rating of “Unsatisfactory” performance in any particular category shall state the basis for that finding in </w:t>
      </w:r>
      <w:r>
        <w:t xml:space="preserve">accordance with the criteria described in the unit guidelines.  An unsatisfactory Periodic Peer Review in any category will trigger the initiation of a Professional Development Review </w:t>
      </w:r>
    </w:p>
    <w:p w14:paraId="2624E991" w14:textId="77777777" w:rsidR="005D1823" w:rsidRDefault="003C0EB9">
      <w:pPr>
        <w:pStyle w:val="Heading5"/>
        <w:tabs>
          <w:tab w:val="center" w:pos="658"/>
          <w:tab w:val="center" w:pos="2953"/>
        </w:tabs>
        <w:ind w:left="0" w:firstLine="0"/>
      </w:pPr>
      <w:r>
        <w:rPr>
          <w:rFonts w:ascii="Calibri" w:eastAsia="Calibri" w:hAnsi="Calibri" w:cs="Calibri"/>
          <w:i w:val="0"/>
          <w:color w:val="000000"/>
        </w:rPr>
        <w:tab/>
      </w:r>
      <w:r>
        <w:t>9.3.3.3</w:t>
      </w:r>
      <w:r>
        <w:rPr>
          <w:rFonts w:ascii="Arial" w:eastAsia="Arial" w:hAnsi="Arial" w:cs="Arial"/>
        </w:rPr>
        <w:t xml:space="preserve"> </w:t>
      </w:r>
      <w:r>
        <w:rPr>
          <w:rFonts w:ascii="Arial" w:eastAsia="Arial" w:hAnsi="Arial" w:cs="Arial"/>
        </w:rPr>
        <w:tab/>
      </w:r>
      <w:r>
        <w:t xml:space="preserve">Needs Improvement – Two Categories </w:t>
      </w:r>
    </w:p>
    <w:p w14:paraId="7121214F" w14:textId="77777777" w:rsidR="005D1823" w:rsidRDefault="003C0EB9">
      <w:pPr>
        <w:spacing w:after="236"/>
        <w:ind w:left="1236" w:right="4"/>
      </w:pPr>
      <w:r>
        <w:rPr>
          <w:rFonts w:cs="Calibri"/>
        </w:rPr>
        <w:t xml:space="preserve">A rating of “Needs Improvement” in any two categories shall state the basis for that finding in accordance with </w:t>
      </w:r>
      <w:r>
        <w:t xml:space="preserve">the criteria described in the department guidelines.  Such an outcome will also trigger the initiation of a Professional Development Review. </w:t>
      </w:r>
    </w:p>
    <w:p w14:paraId="1F07D866" w14:textId="77777777" w:rsidR="005D1823" w:rsidRDefault="003C0EB9">
      <w:pPr>
        <w:pStyle w:val="Heading5"/>
        <w:tabs>
          <w:tab w:val="center" w:pos="658"/>
          <w:tab w:val="center" w:pos="2963"/>
        </w:tabs>
        <w:ind w:left="0" w:firstLine="0"/>
      </w:pPr>
      <w:r>
        <w:rPr>
          <w:rFonts w:ascii="Calibri" w:eastAsia="Calibri" w:hAnsi="Calibri" w:cs="Calibri"/>
          <w:i w:val="0"/>
          <w:color w:val="000000"/>
        </w:rPr>
        <w:tab/>
      </w:r>
      <w:r>
        <w:t>9.3.3.4</w:t>
      </w:r>
      <w:r>
        <w:rPr>
          <w:rFonts w:ascii="Arial" w:eastAsia="Arial" w:hAnsi="Arial" w:cs="Arial"/>
        </w:rPr>
        <w:t xml:space="preserve"> </w:t>
      </w:r>
      <w:r>
        <w:rPr>
          <w:rFonts w:ascii="Arial" w:eastAsia="Arial" w:hAnsi="Arial" w:cs="Arial"/>
        </w:rPr>
        <w:tab/>
      </w:r>
      <w:r>
        <w:t xml:space="preserve">Needs Improvement – Single Category </w:t>
      </w:r>
    </w:p>
    <w:p w14:paraId="0B058EE9" w14:textId="77777777" w:rsidR="005D1823" w:rsidRDefault="003C0EB9">
      <w:pPr>
        <w:spacing w:after="235"/>
        <w:ind w:left="1236" w:right="4"/>
      </w:pPr>
      <w:r>
        <w:rPr>
          <w:rFonts w:cs="Calibri"/>
        </w:rPr>
        <w:t xml:space="preserve">A rating of “Needs Improvement” in a single category must specifically elaborate the deficiencies, in writing, to </w:t>
      </w:r>
      <w:r>
        <w:t xml:space="preserve">better inform the immediate development of a near term improvement plan developed in collaboration between the department head and the faculty member. </w:t>
      </w:r>
    </w:p>
    <w:p w14:paraId="6F48298E" w14:textId="77777777" w:rsidR="005D1823" w:rsidRDefault="003C0EB9">
      <w:pPr>
        <w:pStyle w:val="Heading5"/>
        <w:tabs>
          <w:tab w:val="center" w:pos="658"/>
          <w:tab w:val="center" w:pos="2104"/>
        </w:tabs>
        <w:ind w:left="0" w:firstLine="0"/>
      </w:pPr>
      <w:r>
        <w:rPr>
          <w:rFonts w:ascii="Calibri" w:eastAsia="Calibri" w:hAnsi="Calibri" w:cs="Calibri"/>
          <w:i w:val="0"/>
          <w:color w:val="000000"/>
        </w:rPr>
        <w:tab/>
      </w:r>
      <w:r>
        <w:t>9.3.3.5</w:t>
      </w:r>
      <w:r>
        <w:rPr>
          <w:rFonts w:ascii="Arial" w:eastAsia="Arial" w:hAnsi="Arial" w:cs="Arial"/>
        </w:rPr>
        <w:t xml:space="preserve"> </w:t>
      </w:r>
      <w:r>
        <w:rPr>
          <w:rFonts w:ascii="Arial" w:eastAsia="Arial" w:hAnsi="Arial" w:cs="Arial"/>
        </w:rPr>
        <w:tab/>
      </w:r>
      <w:r>
        <w:t xml:space="preserve">Joint Appointments </w:t>
      </w:r>
    </w:p>
    <w:p w14:paraId="3E6F0D2B" w14:textId="48C72ABF" w:rsidR="005D1823" w:rsidRDefault="003C0EB9">
      <w:pPr>
        <w:spacing w:after="231"/>
        <w:ind w:left="1236" w:right="4"/>
      </w:pPr>
      <w:r>
        <w:t>For tenured faculty with budgeted joint appointments, Periodic Peer Review will be conducted as per the post</w:t>
      </w:r>
      <w:r w:rsidR="00D600B6">
        <w:t xml:space="preserve"> </w:t>
      </w:r>
      <w:r>
        <w:t>tenure review guidelines of the unit where the faculty holds the majority of the appointment (</w:t>
      </w:r>
      <w:proofErr w:type="spellStart"/>
      <w:r>
        <w:t>adloc</w:t>
      </w:r>
      <w:proofErr w:type="spellEnd"/>
      <w:r>
        <w:t xml:space="preserve">) unless the </w:t>
      </w:r>
      <w:r>
        <w:lastRenderedPageBreak/>
        <w:t>faculty member requests to be reviewed by both units.</w:t>
      </w:r>
      <w:r>
        <w:rPr>
          <w:vertAlign w:val="superscript"/>
        </w:rPr>
        <w:footnoteReference w:id="1"/>
      </w:r>
      <w:r>
        <w:t xml:space="preserve"> If reviewed only by the primary unit, the department head, director, or supervisor will share the report with the other department head, director, or supervisor of the secondary unit. </w:t>
      </w:r>
    </w:p>
    <w:p w14:paraId="455909B5" w14:textId="77777777" w:rsidR="005D1823" w:rsidRDefault="003C0EB9">
      <w:pPr>
        <w:pStyle w:val="Heading5"/>
        <w:tabs>
          <w:tab w:val="center" w:pos="658"/>
          <w:tab w:val="center" w:pos="4398"/>
        </w:tabs>
        <w:ind w:left="0" w:firstLine="0"/>
      </w:pPr>
      <w:r>
        <w:rPr>
          <w:rFonts w:ascii="Calibri" w:eastAsia="Calibri" w:hAnsi="Calibri" w:cs="Calibri"/>
          <w:i w:val="0"/>
          <w:color w:val="000000"/>
        </w:rPr>
        <w:tab/>
      </w:r>
      <w:r>
        <w:t>9.3.3.6</w:t>
      </w:r>
      <w:r>
        <w:rPr>
          <w:rFonts w:ascii="Arial" w:eastAsia="Arial" w:hAnsi="Arial" w:cs="Arial"/>
        </w:rPr>
        <w:t xml:space="preserve"> </w:t>
      </w:r>
      <w:r>
        <w:rPr>
          <w:rFonts w:ascii="Arial" w:eastAsia="Arial" w:hAnsi="Arial" w:cs="Arial"/>
        </w:rPr>
        <w:tab/>
      </w:r>
      <w:r>
        <w:t xml:space="preserve">Department Responsibility to Submit Information on Tenured Faculty </w:t>
      </w:r>
    </w:p>
    <w:p w14:paraId="03D62B7D" w14:textId="77777777" w:rsidR="005D1823" w:rsidRDefault="003C0EB9">
      <w:pPr>
        <w:spacing w:after="238"/>
        <w:ind w:left="1236" w:right="4"/>
      </w:pPr>
      <w:r>
        <w:t>Every year, no later than May 31</w:t>
      </w:r>
      <w:r>
        <w:rPr>
          <w:vertAlign w:val="superscript"/>
        </w:rPr>
        <w:t>st</w:t>
      </w:r>
      <w:r>
        <w:t xml:space="preserve">, each department will submit the following information to the Vice Provost for Faculty Affairs (through the Dean of the College of Arts and Sciences) </w:t>
      </w:r>
    </w:p>
    <w:p w14:paraId="4A4F1FDE" w14:textId="77777777" w:rsidR="005D1823" w:rsidRDefault="003C0EB9">
      <w:pPr>
        <w:numPr>
          <w:ilvl w:val="0"/>
          <w:numId w:val="21"/>
        </w:numPr>
        <w:spacing w:after="46"/>
        <w:ind w:right="4" w:hanging="360"/>
      </w:pPr>
      <w:r>
        <w:t xml:space="preserve">The year when each tenured faculty member in the department last underwent a review. </w:t>
      </w:r>
    </w:p>
    <w:p w14:paraId="58867019" w14:textId="77777777" w:rsidR="005D1823" w:rsidRDefault="003C0EB9">
      <w:pPr>
        <w:numPr>
          <w:ilvl w:val="0"/>
          <w:numId w:val="21"/>
        </w:numPr>
        <w:spacing w:after="45"/>
        <w:ind w:right="4" w:hanging="360"/>
      </w:pPr>
      <w:r>
        <w:t xml:space="preserve">Faculty members reviewed that year for post-tenure periodic peer review. </w:t>
      </w:r>
    </w:p>
    <w:p w14:paraId="388750DD" w14:textId="77777777" w:rsidR="005D1823" w:rsidRDefault="003C0EB9">
      <w:pPr>
        <w:numPr>
          <w:ilvl w:val="0"/>
          <w:numId w:val="21"/>
        </w:numPr>
        <w:spacing w:after="45"/>
        <w:ind w:right="4" w:hanging="360"/>
      </w:pPr>
      <w:r>
        <w:t xml:space="preserve">The outcome of each periodic peer review </w:t>
      </w:r>
      <w:proofErr w:type="gramStart"/>
      <w:r>
        <w:t>conduct</w:t>
      </w:r>
      <w:proofErr w:type="gramEnd"/>
      <w:r>
        <w:t xml:space="preserve"> that year and any required follow-up plans. </w:t>
      </w:r>
    </w:p>
    <w:p w14:paraId="3A3609B3" w14:textId="77777777" w:rsidR="005D1823" w:rsidRDefault="003C0EB9">
      <w:pPr>
        <w:numPr>
          <w:ilvl w:val="0"/>
          <w:numId w:val="21"/>
        </w:numPr>
        <w:ind w:right="4" w:hanging="360"/>
      </w:pPr>
      <w:r>
        <w:t xml:space="preserve">Faculty members who are scheduled to be reviewed the following year. </w:t>
      </w:r>
    </w:p>
    <w:p w14:paraId="461EE295" w14:textId="77777777" w:rsidR="005D1823" w:rsidRDefault="003C0EB9">
      <w:pPr>
        <w:spacing w:after="128" w:line="259" w:lineRule="auto"/>
        <w:ind w:left="1441" w:firstLine="0"/>
      </w:pPr>
      <w:r>
        <w:t xml:space="preserve"> </w:t>
      </w:r>
    </w:p>
    <w:p w14:paraId="29E73DB4" w14:textId="77777777" w:rsidR="005D1823" w:rsidRDefault="003C0EB9">
      <w:pPr>
        <w:pStyle w:val="Heading2"/>
        <w:ind w:left="356"/>
      </w:pPr>
      <w:r>
        <w:t>9.4</w:t>
      </w:r>
      <w:r>
        <w:rPr>
          <w:rFonts w:ascii="Arial" w:eastAsia="Arial" w:hAnsi="Arial" w:cs="Arial"/>
        </w:rPr>
        <w:t xml:space="preserve"> </w:t>
      </w:r>
      <w:r>
        <w:t xml:space="preserve">Professional Development Review </w:t>
      </w:r>
    </w:p>
    <w:p w14:paraId="2736F87C" w14:textId="77777777" w:rsidR="005D1823" w:rsidRDefault="003C0EB9">
      <w:pPr>
        <w:ind w:left="931" w:right="4"/>
      </w:pPr>
      <w:r>
        <w:t>A professional development review will be initiated when a tenured faculty member receives three</w:t>
      </w:r>
      <w:r>
        <w:rPr>
          <w:sz w:val="20"/>
        </w:rPr>
        <w:t xml:space="preserve"> </w:t>
      </w:r>
      <w:r>
        <w:t xml:space="preserve">consecutive </w:t>
      </w:r>
      <w:r>
        <w:rPr>
          <w:rFonts w:cs="Calibri"/>
        </w:rPr>
        <w:t>overall “Unsatisfactory” annual reviews or one “Unsatisfactory” periodic peer review or</w:t>
      </w:r>
      <w:r>
        <w:rPr>
          <w:sz w:val="20"/>
        </w:rPr>
        <w:t xml:space="preserve"> </w:t>
      </w:r>
      <w:r>
        <w:t>upon request of the faculty member. The department head will inform the faculty member that they are</w:t>
      </w:r>
      <w:r>
        <w:rPr>
          <w:sz w:val="20"/>
        </w:rPr>
        <w:t xml:space="preserve"> </w:t>
      </w:r>
      <w:r>
        <w:t>subject to a Professional Development Review and provide information on the nature and procedures of</w:t>
      </w:r>
      <w:r>
        <w:rPr>
          <w:sz w:val="20"/>
        </w:rPr>
        <w:t xml:space="preserve"> </w:t>
      </w:r>
      <w:r>
        <w:t>the review. A faculty member can be exempted from review upon recommendation of the department</w:t>
      </w:r>
      <w:r>
        <w:rPr>
          <w:sz w:val="20"/>
        </w:rPr>
        <w:t xml:space="preserve"> </w:t>
      </w:r>
      <w:r>
        <w:t xml:space="preserve">head or supervisor, with approval of the </w:t>
      </w:r>
    </w:p>
    <w:p w14:paraId="1307969F" w14:textId="3138635F" w:rsidR="005D1823" w:rsidRDefault="003C0EB9" w:rsidP="00D600B6">
      <w:pPr>
        <w:spacing w:after="310" w:line="259" w:lineRule="auto"/>
        <w:ind w:left="921" w:right="78" w:firstLine="0"/>
      </w:pPr>
      <w:r>
        <w:t>Dean, when substantive mitigating circumstances (e.g., serious</w:t>
      </w:r>
      <w:r>
        <w:rPr>
          <w:sz w:val="20"/>
        </w:rPr>
        <w:t xml:space="preserve"> </w:t>
      </w:r>
      <w:r>
        <w:t xml:space="preserve">illness) exist. For more information on the process </w:t>
      </w:r>
      <w:r w:rsidR="00D600B6">
        <w:t xml:space="preserve"> </w:t>
      </w:r>
      <w:r>
        <w:t>of the Professional Development Review see</w:t>
      </w:r>
      <w:r>
        <w:rPr>
          <w:sz w:val="20"/>
        </w:rPr>
        <w:t xml:space="preserve"> </w:t>
      </w:r>
      <w:r>
        <w:t>University SAP 12.06.99.M0.01 (Post-Tenure Review). If substantial or chronic deficiencies are identified,</w:t>
      </w:r>
      <w:r>
        <w:rPr>
          <w:sz w:val="20"/>
        </w:rPr>
        <w:t xml:space="preserve"> </w:t>
      </w:r>
      <w:r>
        <w:t xml:space="preserve">the review committee specifically elaborates the deficiencies in </w:t>
      </w:r>
      <w:proofErr w:type="gramStart"/>
      <w:r>
        <w:t>writing</w:t>
      </w:r>
      <w:proofErr w:type="gramEnd"/>
      <w:r>
        <w:t xml:space="preserve"> and a copy is provided to the</w:t>
      </w:r>
      <w:r>
        <w:rPr>
          <w:sz w:val="20"/>
        </w:rPr>
        <w:t xml:space="preserve"> </w:t>
      </w:r>
      <w:r>
        <w:t>faculty member, department head, and the Dean. The faculty member, review committee and</w:t>
      </w:r>
      <w:r>
        <w:rPr>
          <w:sz w:val="20"/>
        </w:rPr>
        <w:t xml:space="preserve"> </w:t>
      </w:r>
      <w:r>
        <w:rPr>
          <w:rFonts w:cs="Calibri"/>
        </w:rPr>
        <w:t>department head shall then work together to draw up a “Professional Development Plan.”</w:t>
      </w:r>
      <w:r>
        <w:rPr>
          <w:sz w:val="20"/>
        </w:rPr>
        <w:t xml:space="preserve">  </w:t>
      </w:r>
      <w:r>
        <w:t>The professional development plan is reviewed by the executive associate dean or associate dean for</w:t>
      </w:r>
      <w:r>
        <w:rPr>
          <w:sz w:val="20"/>
        </w:rPr>
        <w:t xml:space="preserve"> </w:t>
      </w:r>
      <w:r>
        <w:t>faculty affairs and approved by the Dean.</w:t>
      </w:r>
      <w:r>
        <w:rPr>
          <w:sz w:val="20"/>
        </w:rPr>
        <w:t xml:space="preserve"> </w:t>
      </w:r>
    </w:p>
    <w:p w14:paraId="2529FE6B" w14:textId="77777777" w:rsidR="005D1823" w:rsidRDefault="003C0EB9">
      <w:pPr>
        <w:pStyle w:val="Heading4"/>
        <w:ind w:left="356"/>
      </w:pPr>
      <w:r>
        <w:t>9.4.1</w:t>
      </w:r>
      <w:r>
        <w:rPr>
          <w:rFonts w:ascii="Arial" w:eastAsia="Arial" w:hAnsi="Arial" w:cs="Arial"/>
        </w:rPr>
        <w:t xml:space="preserve"> </w:t>
      </w:r>
      <w:r>
        <w:t xml:space="preserve">Objectives for Professional Development Review </w:t>
      </w:r>
    </w:p>
    <w:p w14:paraId="5712049D" w14:textId="77777777" w:rsidR="005D1823" w:rsidRDefault="003C0EB9">
      <w:pPr>
        <w:spacing w:after="246"/>
        <w:ind w:left="1091" w:right="4"/>
      </w:pPr>
      <w:r>
        <w:t xml:space="preserve">There are three objectives for the Professional Development Review: </w:t>
      </w:r>
    </w:p>
    <w:p w14:paraId="6947D61C" w14:textId="77777777" w:rsidR="005D1823" w:rsidRDefault="003C0EB9">
      <w:pPr>
        <w:spacing w:after="35"/>
        <w:ind w:left="1491" w:right="1515"/>
      </w:pPr>
      <w:r>
        <w:t>1.</w:t>
      </w:r>
      <w:r>
        <w:rPr>
          <w:rFonts w:ascii="Arial" w:eastAsia="Arial" w:hAnsi="Arial" w:cs="Arial"/>
        </w:rPr>
        <w:t xml:space="preserve"> </w:t>
      </w:r>
      <w:r>
        <w:t>Identify and officially acknowledge substantial or chronic deficits in performance, 2.</w:t>
      </w:r>
      <w:r>
        <w:rPr>
          <w:rFonts w:ascii="Arial" w:eastAsia="Arial" w:hAnsi="Arial" w:cs="Arial"/>
        </w:rPr>
        <w:t xml:space="preserve"> </w:t>
      </w:r>
      <w:r>
        <w:t xml:space="preserve">Develop a specific professional development plan by which to remedy deficiencies, and </w:t>
      </w:r>
    </w:p>
    <w:p w14:paraId="03EDD4F4" w14:textId="77777777" w:rsidR="005D1823" w:rsidRDefault="003C0EB9">
      <w:pPr>
        <w:spacing w:after="261"/>
        <w:ind w:left="1491" w:right="4"/>
      </w:pPr>
      <w:r>
        <w:rPr>
          <w:sz w:val="20"/>
        </w:rPr>
        <w:t>3.</w:t>
      </w:r>
      <w:r>
        <w:rPr>
          <w:rFonts w:ascii="Arial" w:eastAsia="Arial" w:hAnsi="Arial" w:cs="Arial"/>
          <w:sz w:val="20"/>
        </w:rPr>
        <w:t xml:space="preserve"> </w:t>
      </w:r>
      <w:r>
        <w:t>Monitor progress toward achievement of the Professional Development Plan.</w:t>
      </w:r>
      <w:r>
        <w:rPr>
          <w:sz w:val="20"/>
        </w:rPr>
        <w:t xml:space="preserve"> </w:t>
      </w:r>
    </w:p>
    <w:p w14:paraId="560F53E1" w14:textId="77777777" w:rsidR="005D1823" w:rsidRDefault="003C0EB9">
      <w:pPr>
        <w:pStyle w:val="Heading4"/>
        <w:ind w:left="356"/>
      </w:pPr>
      <w:r>
        <w:t>9.4.2</w:t>
      </w:r>
      <w:r>
        <w:rPr>
          <w:rFonts w:ascii="Arial" w:eastAsia="Arial" w:hAnsi="Arial" w:cs="Arial"/>
        </w:rPr>
        <w:t xml:space="preserve"> </w:t>
      </w:r>
      <w:r>
        <w:t xml:space="preserve">Ad Hoc Review Committee </w:t>
      </w:r>
    </w:p>
    <w:p w14:paraId="2511C445" w14:textId="77777777" w:rsidR="005D1823" w:rsidRDefault="003C0EB9">
      <w:pPr>
        <w:spacing w:after="253"/>
        <w:ind w:left="1091" w:right="4"/>
      </w:pPr>
      <w:r>
        <w:t xml:space="preserve">The Professional Development Review will be conducted by an ad hoc review committee (hereafter referred to as the review committee), unless the faculty member requests that it be conducted by the department head. The three-member ad hoc faculty review committee will be appointed by the Executive Associate Dean and/or Associate Dean for Faculty Affairs, in consultation with the Dean, the department head and faculty member to </w:t>
      </w:r>
      <w:r>
        <w:rPr>
          <w:rFonts w:cs="Calibri"/>
        </w:rPr>
        <w:t>be reviewed. Specifically, the dean’s office will identify individuals to serve on t</w:t>
      </w:r>
      <w:r>
        <w:t>he ad hoc committee and will confirm their availability (without identifying the faculty member</w:t>
      </w:r>
      <w:proofErr w:type="gramStart"/>
      <w:r>
        <w:t>), and</w:t>
      </w:r>
      <w:proofErr w:type="gramEnd"/>
      <w:r>
        <w:t xml:space="preserve"> then consult with the department head and the faculty member to determine that the committee composition is acceptable.  If the faculty member is dissatisfied with one or more of the selected committee members (due to personal conflicts or conflicts of </w:t>
      </w:r>
      <w:r>
        <w:rPr>
          <w:rFonts w:cs="Calibri"/>
        </w:rPr>
        <w:lastRenderedPageBreak/>
        <w:t xml:space="preserve">interest), the dean’s office will identify a potential alternate(s).  When appropriate, the committee membership </w:t>
      </w:r>
      <w:r>
        <w:t xml:space="preserve">may include faculty from other departments, colleges, or universities.    </w:t>
      </w:r>
    </w:p>
    <w:p w14:paraId="35A34343" w14:textId="77777777" w:rsidR="005D1823" w:rsidRDefault="003C0EB9">
      <w:pPr>
        <w:pStyle w:val="Heading4"/>
        <w:ind w:left="356"/>
      </w:pPr>
      <w:r>
        <w:t>9.4.3</w:t>
      </w:r>
      <w:r>
        <w:rPr>
          <w:rFonts w:ascii="Arial" w:eastAsia="Arial" w:hAnsi="Arial" w:cs="Arial"/>
        </w:rPr>
        <w:t xml:space="preserve"> </w:t>
      </w:r>
      <w:r>
        <w:t xml:space="preserve">Faculty’s Review Dossier </w:t>
      </w:r>
    </w:p>
    <w:p w14:paraId="53584405" w14:textId="77777777" w:rsidR="005D1823" w:rsidRDefault="003C0EB9">
      <w:pPr>
        <w:spacing w:after="247"/>
        <w:ind w:left="1091" w:right="4"/>
      </w:pPr>
      <w:r>
        <w:t xml:space="preserve">The faculty member to be reviewed will prepare a review dossier by providing all documents, materials, and statements that they deem relevant and necessary for the review within one month of notification of the Professional Development Review. All materials submitted by the faculty member are to be included in the dossier. The dossier will include at minimum the following items: </w:t>
      </w:r>
    </w:p>
    <w:p w14:paraId="7C36561E" w14:textId="77777777" w:rsidR="005D1823" w:rsidRDefault="003C0EB9">
      <w:pPr>
        <w:numPr>
          <w:ilvl w:val="0"/>
          <w:numId w:val="22"/>
        </w:numPr>
        <w:spacing w:after="30"/>
        <w:ind w:right="4" w:hanging="360"/>
      </w:pPr>
      <w:r>
        <w:t xml:space="preserve">A current curriculum vitae. </w:t>
      </w:r>
    </w:p>
    <w:p w14:paraId="4B92C917" w14:textId="77777777" w:rsidR="005D1823" w:rsidRDefault="003C0EB9">
      <w:pPr>
        <w:numPr>
          <w:ilvl w:val="0"/>
          <w:numId w:val="22"/>
        </w:numPr>
        <w:spacing w:after="30"/>
        <w:ind w:right="4" w:hanging="360"/>
      </w:pPr>
      <w:r>
        <w:t xml:space="preserve">A teaching portfolio. </w:t>
      </w:r>
    </w:p>
    <w:p w14:paraId="59394B80" w14:textId="77777777" w:rsidR="005D1823" w:rsidRDefault="003C0EB9">
      <w:pPr>
        <w:numPr>
          <w:ilvl w:val="0"/>
          <w:numId w:val="22"/>
        </w:numPr>
        <w:spacing w:after="34"/>
        <w:ind w:right="4" w:hanging="360"/>
      </w:pPr>
      <w:r>
        <w:t xml:space="preserve">A statement summarizing current research and/or creative work. </w:t>
      </w:r>
    </w:p>
    <w:p w14:paraId="061246AB" w14:textId="77777777" w:rsidR="005D1823" w:rsidRDefault="003C0EB9">
      <w:pPr>
        <w:numPr>
          <w:ilvl w:val="0"/>
          <w:numId w:val="22"/>
        </w:numPr>
        <w:spacing w:after="236"/>
        <w:ind w:right="4" w:hanging="360"/>
      </w:pPr>
      <w:r>
        <w:t xml:space="preserve">A statement summarizing current service responsibilities. </w:t>
      </w:r>
    </w:p>
    <w:p w14:paraId="062DC772" w14:textId="77777777" w:rsidR="005D1823" w:rsidRDefault="003C0EB9">
      <w:pPr>
        <w:pStyle w:val="Heading4"/>
        <w:ind w:left="356"/>
      </w:pPr>
      <w:r>
        <w:t>9.4.4</w:t>
      </w:r>
      <w:r>
        <w:rPr>
          <w:rFonts w:ascii="Arial" w:eastAsia="Arial" w:hAnsi="Arial" w:cs="Arial"/>
        </w:rPr>
        <w:t xml:space="preserve"> </w:t>
      </w:r>
      <w:r>
        <w:t xml:space="preserve">Department Head’s Review/Addition to Dossier </w:t>
      </w:r>
    </w:p>
    <w:p w14:paraId="2549122B" w14:textId="77777777" w:rsidR="005D1823" w:rsidRDefault="003C0EB9">
      <w:pPr>
        <w:spacing w:after="258"/>
        <w:ind w:left="1091" w:right="4"/>
      </w:pPr>
      <w:r>
        <w:t>The department head will add to the dossier any further materials deemed necessary or relevant to the</w:t>
      </w:r>
      <w:r>
        <w:rPr>
          <w:sz w:val="20"/>
        </w:rPr>
        <w:t xml:space="preserve"> </w:t>
      </w:r>
      <w:r>
        <w:t xml:space="preserve">review </w:t>
      </w:r>
      <w:r>
        <w:rPr>
          <w:rFonts w:cs="Calibri"/>
        </w:rPr>
        <w:t>of the faculty member’s academic performance. The faculty member has the right to review and</w:t>
      </w:r>
      <w:r>
        <w:rPr>
          <w:sz w:val="20"/>
        </w:rPr>
        <w:t xml:space="preserve"> </w:t>
      </w:r>
      <w:r>
        <w:t>respond in writing to any materials added by the department head with the written response included</w:t>
      </w:r>
      <w:r>
        <w:rPr>
          <w:sz w:val="20"/>
        </w:rPr>
        <w:t xml:space="preserve"> </w:t>
      </w:r>
      <w:r>
        <w:t>in the dossier. In addition, the faculty member has the right to add any materials at any time during the</w:t>
      </w:r>
      <w:r>
        <w:rPr>
          <w:sz w:val="20"/>
        </w:rPr>
        <w:t xml:space="preserve"> </w:t>
      </w:r>
      <w:r>
        <w:t>review process.</w:t>
      </w:r>
      <w:r>
        <w:rPr>
          <w:sz w:val="20"/>
        </w:rPr>
        <w:t xml:space="preserve"> </w:t>
      </w:r>
    </w:p>
    <w:p w14:paraId="7F4AC679" w14:textId="77777777" w:rsidR="005D1823" w:rsidRDefault="003C0EB9">
      <w:pPr>
        <w:pStyle w:val="Heading4"/>
        <w:ind w:left="356"/>
      </w:pPr>
      <w:r>
        <w:t>9.4.5</w:t>
      </w:r>
      <w:r>
        <w:rPr>
          <w:rFonts w:ascii="Arial" w:eastAsia="Arial" w:hAnsi="Arial" w:cs="Arial"/>
        </w:rPr>
        <w:t xml:space="preserve"> </w:t>
      </w:r>
      <w:r>
        <w:t xml:space="preserve">Professional Development Review Timeline </w:t>
      </w:r>
    </w:p>
    <w:p w14:paraId="72ACFB67" w14:textId="77777777" w:rsidR="005D1823" w:rsidRDefault="003C0EB9">
      <w:pPr>
        <w:ind w:left="1091" w:right="4"/>
      </w:pPr>
      <w:r>
        <w:t xml:space="preserve">The Professional Development Review will be made in a timely fashion (normally within three months after submission of the dossier). The Professional Development Review will result in one of three possible outcomes. </w:t>
      </w:r>
    </w:p>
    <w:p w14:paraId="71358A63" w14:textId="77777777" w:rsidR="005D1823" w:rsidRDefault="003C0EB9">
      <w:pPr>
        <w:numPr>
          <w:ilvl w:val="0"/>
          <w:numId w:val="23"/>
        </w:numPr>
        <w:spacing w:after="39" w:line="273" w:lineRule="auto"/>
        <w:ind w:left="1717" w:right="4" w:hanging="361"/>
      </w:pPr>
      <w:r>
        <w:t xml:space="preserve">No deficiencies are identified. The faculty member, department head, and the Dean are so informed in writing, and the outcome of the prior annual review is superseded by the ad hoc committee report. </w:t>
      </w:r>
    </w:p>
    <w:p w14:paraId="2E0AEE6E" w14:textId="77777777" w:rsidR="005D1823" w:rsidRDefault="003C0EB9">
      <w:pPr>
        <w:numPr>
          <w:ilvl w:val="0"/>
          <w:numId w:val="23"/>
        </w:numPr>
        <w:spacing w:after="79"/>
        <w:ind w:left="1717" w:right="4" w:hanging="361"/>
      </w:pPr>
      <w:r>
        <w:t xml:space="preserve">Some deficiencies are identified but are determined not to be substantial or chronic. The review committee specifically elaborates the deficiencies in </w:t>
      </w:r>
      <w:proofErr w:type="gramStart"/>
      <w:r>
        <w:t>writing</w:t>
      </w:r>
      <w:proofErr w:type="gramEnd"/>
      <w:r>
        <w:t xml:space="preserve"> and a copy is provided to the faculty member, the department head, and the Dean to better inform the near-term improvement plan. </w:t>
      </w:r>
    </w:p>
    <w:p w14:paraId="7469AC2D" w14:textId="77777777" w:rsidR="005D1823" w:rsidRDefault="003C0EB9">
      <w:pPr>
        <w:numPr>
          <w:ilvl w:val="0"/>
          <w:numId w:val="23"/>
        </w:numPr>
        <w:spacing w:after="253"/>
        <w:ind w:left="1717" w:right="4" w:hanging="361"/>
      </w:pPr>
      <w:r>
        <w:t>Substantial or chronic deficiencies are identified. The review committee specifically elaborates</w:t>
      </w:r>
      <w:r>
        <w:rPr>
          <w:sz w:val="20"/>
        </w:rPr>
        <w:t xml:space="preserve"> </w:t>
      </w:r>
      <w:r>
        <w:t xml:space="preserve">the deficiencies in </w:t>
      </w:r>
      <w:proofErr w:type="gramStart"/>
      <w:r>
        <w:t>writing</w:t>
      </w:r>
      <w:proofErr w:type="gramEnd"/>
      <w:r>
        <w:t xml:space="preserve"> and a copy is provided to the faculty member, department head, and</w:t>
      </w:r>
      <w:r>
        <w:rPr>
          <w:sz w:val="20"/>
        </w:rPr>
        <w:t xml:space="preserve"> </w:t>
      </w:r>
      <w:r>
        <w:t>the Dean. The faculty member, review committee, and department head shall then work</w:t>
      </w:r>
      <w:r>
        <w:rPr>
          <w:sz w:val="20"/>
        </w:rPr>
        <w:t xml:space="preserve"> </w:t>
      </w:r>
      <w:r>
        <w:t xml:space="preserve">together to draw up a </w:t>
      </w:r>
      <w:r>
        <w:rPr>
          <w:rFonts w:cs="Calibri"/>
        </w:rPr>
        <w:t>“Professional Development Plan” which is reviewed by the executive</w:t>
      </w:r>
      <w:r>
        <w:rPr>
          <w:sz w:val="20"/>
        </w:rPr>
        <w:t xml:space="preserve"> </w:t>
      </w:r>
      <w:r>
        <w:t xml:space="preserve">associate dean and the associate dean for faculty </w:t>
      </w:r>
      <w:proofErr w:type="gramStart"/>
      <w:r>
        <w:t>affairs, and</w:t>
      </w:r>
      <w:proofErr w:type="gramEnd"/>
      <w:r>
        <w:t xml:space="preserve"> approved by the Dean.</w:t>
      </w:r>
      <w:r>
        <w:rPr>
          <w:sz w:val="24"/>
        </w:rPr>
        <w:t xml:space="preserve"> </w:t>
      </w:r>
    </w:p>
    <w:p w14:paraId="14FF3FB9" w14:textId="77777777" w:rsidR="005D1823" w:rsidRDefault="003C0EB9">
      <w:pPr>
        <w:pStyle w:val="Heading2"/>
        <w:ind w:left="356"/>
      </w:pPr>
      <w:r>
        <w:t>9.5</w:t>
      </w:r>
      <w:r>
        <w:rPr>
          <w:rFonts w:ascii="Arial" w:eastAsia="Arial" w:hAnsi="Arial" w:cs="Arial"/>
        </w:rPr>
        <w:t xml:space="preserve"> </w:t>
      </w:r>
      <w:r>
        <w:t xml:space="preserve">Professional Development Plan </w:t>
      </w:r>
    </w:p>
    <w:p w14:paraId="1F3C5BF9" w14:textId="77777777" w:rsidR="005D1823" w:rsidRDefault="003C0EB9">
      <w:pPr>
        <w:spacing w:after="208"/>
        <w:ind w:left="931" w:right="4"/>
      </w:pPr>
      <w:r>
        <w:rPr>
          <w:rFonts w:cs="Calibri"/>
        </w:rPr>
        <w:t>The Professional Development Plan shall indicate how specific deficiencies in faculty member’s</w:t>
      </w:r>
      <w:r>
        <w:rPr>
          <w:sz w:val="20"/>
        </w:rPr>
        <w:t xml:space="preserve"> </w:t>
      </w:r>
      <w:r>
        <w:t>performance (as measured against stated criteria in the department guidelines) will be remedied. The</w:t>
      </w:r>
      <w:r>
        <w:rPr>
          <w:sz w:val="20"/>
        </w:rPr>
        <w:t xml:space="preserve"> </w:t>
      </w:r>
      <w:r>
        <w:t>plan will be developed with the collaboration among the faculty member, the review committee, the</w:t>
      </w:r>
      <w:r>
        <w:rPr>
          <w:sz w:val="20"/>
        </w:rPr>
        <w:t xml:space="preserve"> </w:t>
      </w:r>
      <w:r>
        <w:t xml:space="preserve">department head/supervisor, and the </w:t>
      </w:r>
      <w:r>
        <w:rPr>
          <w:rFonts w:cs="Calibri"/>
        </w:rPr>
        <w:t>dean’s office, and should reflect the mutual aspirations of the</w:t>
      </w:r>
      <w:r>
        <w:rPr>
          <w:sz w:val="20"/>
        </w:rPr>
        <w:t xml:space="preserve"> </w:t>
      </w:r>
      <w:r>
        <w:t>faculty member, the department, and the college. The plan will be formulated with the assistance of and</w:t>
      </w:r>
      <w:r>
        <w:rPr>
          <w:sz w:val="20"/>
        </w:rPr>
        <w:t xml:space="preserve"> </w:t>
      </w:r>
      <w:r>
        <w:t xml:space="preserve">in consultation with the faculty member. It is the faculty </w:t>
      </w:r>
      <w:r>
        <w:rPr>
          <w:rFonts w:cs="Calibri"/>
        </w:rPr>
        <w:t>member’s obligation to assist in the</w:t>
      </w:r>
      <w:r>
        <w:rPr>
          <w:sz w:val="20"/>
        </w:rPr>
        <w:t xml:space="preserve"> </w:t>
      </w:r>
      <w:r>
        <w:t xml:space="preserve">development of a meaningful and effective plan and to make a good faith effort to implement the plan </w:t>
      </w:r>
    </w:p>
    <w:p w14:paraId="69A12909" w14:textId="528995EF" w:rsidR="005D1823" w:rsidRDefault="003C0EB9">
      <w:pPr>
        <w:spacing w:after="257"/>
        <w:ind w:left="931" w:right="4"/>
      </w:pPr>
      <w:r>
        <w:lastRenderedPageBreak/>
        <w:t xml:space="preserve">For more details on the Professional Development Plan, see Section 9 of </w:t>
      </w:r>
      <w:hyperlink r:id="rId55" w:history="1">
        <w:r w:rsidRPr="00D5489B">
          <w:rPr>
            <w:rStyle w:val="Hyperlink"/>
          </w:rPr>
          <w:t>University SAP</w:t>
        </w:r>
        <w:r w:rsidRPr="00D5489B">
          <w:rPr>
            <w:rStyle w:val="Hyperlink"/>
            <w:sz w:val="20"/>
          </w:rPr>
          <w:t xml:space="preserve"> </w:t>
        </w:r>
        <w:r w:rsidRPr="00D5489B">
          <w:rPr>
            <w:rStyle w:val="Hyperlink"/>
          </w:rPr>
          <w:t>12.06.99.M0.01</w:t>
        </w:r>
      </w:hyperlink>
      <w:r>
        <w:t xml:space="preserve"> (Post Tenure Review).</w:t>
      </w:r>
      <w:r>
        <w:rPr>
          <w:sz w:val="24"/>
        </w:rPr>
        <w:t xml:space="preserve"> </w:t>
      </w:r>
    </w:p>
    <w:p w14:paraId="66B02658" w14:textId="77777777" w:rsidR="005D1823" w:rsidRDefault="003C0EB9">
      <w:pPr>
        <w:pStyle w:val="Heading2"/>
        <w:ind w:left="356"/>
      </w:pPr>
      <w:r>
        <w:t>9.6</w:t>
      </w:r>
      <w:r>
        <w:rPr>
          <w:rFonts w:ascii="Arial" w:eastAsia="Arial" w:hAnsi="Arial" w:cs="Arial"/>
        </w:rPr>
        <w:t xml:space="preserve"> </w:t>
      </w:r>
      <w:r>
        <w:t xml:space="preserve">Appeal Process (Post-Tenure Review &amp; Professional Development Review) </w:t>
      </w:r>
    </w:p>
    <w:p w14:paraId="0EBBE346" w14:textId="77777777" w:rsidR="005D1823" w:rsidRDefault="003C0EB9">
      <w:pPr>
        <w:spacing w:after="208"/>
        <w:ind w:left="931" w:right="4"/>
      </w:pPr>
      <w:r>
        <w:t xml:space="preserve">If at any point during the procedure the faculty member believes the provisions of the Post-tenure review are being unfairly applied, a grievance can be filed under the provisions of </w:t>
      </w:r>
      <w:hyperlink r:id="rId56">
        <w:r>
          <w:rPr>
            <w:u w:val="single" w:color="000000"/>
          </w:rPr>
          <w:t>University SAP 12.99.99.M0.01</w:t>
        </w:r>
      </w:hyperlink>
      <w:hyperlink r:id="rId57">
        <w:r>
          <w:t xml:space="preserve"> </w:t>
        </w:r>
      </w:hyperlink>
      <w:r>
        <w:t xml:space="preserve">(Procedures for Appeal of Faculty Complaints and Appeal of Dismissals and Sanctions for Misconduct or Serious Misconduct).   </w:t>
      </w:r>
    </w:p>
    <w:p w14:paraId="590ABE15" w14:textId="77777777" w:rsidR="005D1823" w:rsidRDefault="003C0EB9">
      <w:pPr>
        <w:spacing w:after="208"/>
        <w:ind w:left="931" w:right="4"/>
      </w:pPr>
      <w:r>
        <w:t xml:space="preserve">If the faculty member wishes to contest the Professional Development Review committee's finding of substantial or chronic deficiencies, the faculty member may appeal the finding to the dean, whose decision on such an appeal is final (see Section 6 of </w:t>
      </w:r>
      <w:hyperlink r:id="rId58">
        <w:r>
          <w:rPr>
            <w:u w:val="single" w:color="000000"/>
          </w:rPr>
          <w:t>University SAP 12.06.99.M0.01</w:t>
        </w:r>
      </w:hyperlink>
      <w:hyperlink r:id="rId59">
        <w:r>
          <w:t>)</w:t>
        </w:r>
      </w:hyperlink>
      <w:r>
        <w:t xml:space="preserve">.  </w:t>
      </w:r>
    </w:p>
    <w:p w14:paraId="0C2B1AAD" w14:textId="77777777" w:rsidR="005D1823" w:rsidRDefault="003C0EB9">
      <w:pPr>
        <w:spacing w:after="276"/>
        <w:ind w:left="931" w:right="4"/>
      </w:pPr>
      <w:r>
        <w:t xml:space="preserve">If the faculty member, department head, and review committee fail to agree on a Professional Development Plan acceptable to the dean, the plan will be determined through mediation directed by the Vice Provost for Faculty Affairs (See Section 6, of </w:t>
      </w:r>
      <w:hyperlink r:id="rId60">
        <w:r>
          <w:rPr>
            <w:u w:val="single" w:color="000000"/>
          </w:rPr>
          <w:t>University SAP 12.06.99.M0.01</w:t>
        </w:r>
      </w:hyperlink>
      <w:hyperlink r:id="rId61">
        <w:r>
          <w:t>)</w:t>
        </w:r>
      </w:hyperlink>
      <w:r>
        <w:t xml:space="preserve">.  </w:t>
      </w:r>
    </w:p>
    <w:p w14:paraId="6CAB19AA" w14:textId="77777777" w:rsidR="005D1823" w:rsidRDefault="003C0EB9">
      <w:pPr>
        <w:pStyle w:val="Heading2"/>
        <w:ind w:left="356"/>
      </w:pPr>
      <w:r>
        <w:t>9.7</w:t>
      </w:r>
      <w:r>
        <w:rPr>
          <w:rFonts w:ascii="Arial" w:eastAsia="Arial" w:hAnsi="Arial" w:cs="Arial"/>
        </w:rPr>
        <w:t xml:space="preserve"> </w:t>
      </w:r>
      <w:r>
        <w:t xml:space="preserve">Voluntary Post-Tenure Review </w:t>
      </w:r>
    </w:p>
    <w:p w14:paraId="7B047F26" w14:textId="77777777" w:rsidR="005D1823" w:rsidRDefault="003C0EB9">
      <w:pPr>
        <w:spacing w:after="208"/>
        <w:ind w:left="931" w:right="4"/>
      </w:pPr>
      <w:r>
        <w:t xml:space="preserve">A tenured faculty member desirous of a voluntary Post-Tenure Review may seek the counsel of peers, through a Periodic Peer Review or a Professional Development Review, by making a request to the department head, director, or supervisor (See Section 6 of </w:t>
      </w:r>
      <w:hyperlink r:id="rId62">
        <w:r>
          <w:rPr>
            <w:u w:val="single" w:color="000000"/>
          </w:rPr>
          <w:t>University SAP 12.06.99.M0.01</w:t>
        </w:r>
      </w:hyperlink>
      <w:hyperlink r:id="rId63">
        <w:r>
          <w:t>)</w:t>
        </w:r>
      </w:hyperlink>
      <w:r>
        <w:t xml:space="preserve">. </w:t>
      </w:r>
    </w:p>
    <w:p w14:paraId="768EC053" w14:textId="77777777" w:rsidR="005D1823" w:rsidRDefault="003C0EB9">
      <w:pPr>
        <w:spacing w:after="215" w:line="259" w:lineRule="auto"/>
        <w:ind w:left="936" w:firstLine="0"/>
      </w:pPr>
      <w:r>
        <w:t xml:space="preserve"> </w:t>
      </w:r>
    </w:p>
    <w:p w14:paraId="5D75232A" w14:textId="77777777" w:rsidR="005D1823" w:rsidRDefault="003C0EB9">
      <w:pPr>
        <w:spacing w:after="0" w:line="259" w:lineRule="auto"/>
        <w:ind w:left="936" w:firstLine="0"/>
      </w:pPr>
      <w:r>
        <w:t xml:space="preserve"> </w:t>
      </w:r>
    </w:p>
    <w:p w14:paraId="51524005" w14:textId="0A816A62" w:rsidR="005D1823" w:rsidRDefault="005D1823">
      <w:pPr>
        <w:spacing w:after="0" w:line="259" w:lineRule="auto"/>
        <w:ind w:left="1081" w:firstLine="0"/>
      </w:pPr>
    </w:p>
    <w:p w14:paraId="5B6EEE42" w14:textId="77777777" w:rsidR="005D1823" w:rsidRDefault="003C0EB9">
      <w:pPr>
        <w:spacing w:after="0" w:line="259" w:lineRule="auto"/>
        <w:ind w:left="0" w:firstLine="0"/>
      </w:pPr>
      <w:r>
        <w:t xml:space="preserve"> </w:t>
      </w:r>
    </w:p>
    <w:p w14:paraId="302E888E" w14:textId="77777777" w:rsidR="00E85562" w:rsidRDefault="00E85562">
      <w:pPr>
        <w:spacing w:after="0" w:line="259" w:lineRule="auto"/>
        <w:ind w:left="0" w:firstLine="0"/>
      </w:pPr>
    </w:p>
    <w:p w14:paraId="49B75023" w14:textId="77777777" w:rsidR="005D1823" w:rsidRDefault="003C0EB9">
      <w:pPr>
        <w:spacing w:after="185" w:line="259" w:lineRule="auto"/>
        <w:ind w:left="361" w:firstLine="0"/>
      </w:pPr>
      <w:r>
        <w:rPr>
          <w:rFonts w:cs="Calibri"/>
          <w:noProof/>
        </w:rPr>
        <mc:AlternateContent>
          <mc:Choice Requires="wpg">
            <w:drawing>
              <wp:inline distT="0" distB="0" distL="0" distR="0" wp14:anchorId="259A417C" wp14:editId="29CF0272">
                <wp:extent cx="6670040" cy="6350"/>
                <wp:effectExtent l="0" t="0" r="0" b="0"/>
                <wp:docPr id="28955" name="Group 28955"/>
                <wp:cNvGraphicFramePr/>
                <a:graphic xmlns:a="http://schemas.openxmlformats.org/drawingml/2006/main">
                  <a:graphicData uri="http://schemas.microsoft.com/office/word/2010/wordprocessingGroup">
                    <wpg:wgp>
                      <wpg:cNvGrpSpPr/>
                      <wpg:grpSpPr>
                        <a:xfrm>
                          <a:off x="0" y="0"/>
                          <a:ext cx="6670040" cy="6350"/>
                          <a:chOff x="0" y="0"/>
                          <a:chExt cx="6670040" cy="6350"/>
                        </a:xfrm>
                      </wpg:grpSpPr>
                      <wps:wsp>
                        <wps:cNvPr id="30464" name="Shape 30464"/>
                        <wps:cNvSpPr/>
                        <wps:spPr>
                          <a:xfrm>
                            <a:off x="0" y="0"/>
                            <a:ext cx="6670040" cy="9144"/>
                          </a:xfrm>
                          <a:custGeom>
                            <a:avLst/>
                            <a:gdLst/>
                            <a:ahLst/>
                            <a:cxnLst/>
                            <a:rect l="0" t="0" r="0" b="0"/>
                            <a:pathLst>
                              <a:path w="6670040" h="9144">
                                <a:moveTo>
                                  <a:pt x="0" y="0"/>
                                </a:moveTo>
                                <a:lnTo>
                                  <a:pt x="6670040" y="0"/>
                                </a:lnTo>
                                <a:lnTo>
                                  <a:pt x="6670040"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28955" style="width:525.2pt;height:0.5pt;mso-position-horizontal-relative:char;mso-position-vertical-relative:line" coordsize="66700,63">
                <v:shape id="Shape 30465" style="position:absolute;width:66700;height:91;left:0;top:0;" coordsize="6670040,9144" path="m0,0l6670040,0l6670040,9144l0,9144l0,0">
                  <v:stroke weight="0pt" endcap="flat" joinstyle="miter" miterlimit="10" on="false" color="#000000" opacity="0"/>
                  <v:fill on="true" color="#666666"/>
                </v:shape>
              </v:group>
            </w:pict>
          </mc:Fallback>
        </mc:AlternateContent>
      </w:r>
    </w:p>
    <w:p w14:paraId="188A39B7" w14:textId="77777777" w:rsidR="005D1823" w:rsidRDefault="003C0EB9">
      <w:pPr>
        <w:spacing w:after="3" w:line="259" w:lineRule="auto"/>
      </w:pPr>
      <w:r>
        <w:rPr>
          <w:rFonts w:cs="Calibri"/>
          <w:b/>
        </w:rPr>
        <w:t>Contact Office</w:t>
      </w:r>
      <w:r>
        <w:t xml:space="preserve"> </w:t>
      </w:r>
    </w:p>
    <w:p w14:paraId="09D4E3A5" w14:textId="77777777" w:rsidR="005D1823" w:rsidRDefault="003C0EB9">
      <w:pPr>
        <w:spacing w:after="40" w:line="259" w:lineRule="auto"/>
        <w:ind w:left="361" w:firstLine="0"/>
      </w:pPr>
      <w:r>
        <w:rPr>
          <w:rFonts w:cs="Calibri"/>
          <w:noProof/>
        </w:rPr>
        <mc:AlternateContent>
          <mc:Choice Requires="wpg">
            <w:drawing>
              <wp:inline distT="0" distB="0" distL="0" distR="0" wp14:anchorId="059DA570" wp14:editId="0BE05AE2">
                <wp:extent cx="6670040" cy="6350"/>
                <wp:effectExtent l="0" t="0" r="0" b="0"/>
                <wp:docPr id="28956" name="Group 28956"/>
                <wp:cNvGraphicFramePr/>
                <a:graphic xmlns:a="http://schemas.openxmlformats.org/drawingml/2006/main">
                  <a:graphicData uri="http://schemas.microsoft.com/office/word/2010/wordprocessingGroup">
                    <wpg:wgp>
                      <wpg:cNvGrpSpPr/>
                      <wpg:grpSpPr>
                        <a:xfrm>
                          <a:off x="0" y="0"/>
                          <a:ext cx="6670040" cy="6350"/>
                          <a:chOff x="0" y="0"/>
                          <a:chExt cx="6670040" cy="6350"/>
                        </a:xfrm>
                      </wpg:grpSpPr>
                      <wps:wsp>
                        <wps:cNvPr id="30466" name="Shape 30466"/>
                        <wps:cNvSpPr/>
                        <wps:spPr>
                          <a:xfrm>
                            <a:off x="0" y="0"/>
                            <a:ext cx="6670040" cy="9144"/>
                          </a:xfrm>
                          <a:custGeom>
                            <a:avLst/>
                            <a:gdLst/>
                            <a:ahLst/>
                            <a:cxnLst/>
                            <a:rect l="0" t="0" r="0" b="0"/>
                            <a:pathLst>
                              <a:path w="6670040" h="9144">
                                <a:moveTo>
                                  <a:pt x="0" y="0"/>
                                </a:moveTo>
                                <a:lnTo>
                                  <a:pt x="6670040" y="0"/>
                                </a:lnTo>
                                <a:lnTo>
                                  <a:pt x="6670040"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28956" style="width:525.2pt;height:0.5pt;mso-position-horizontal-relative:char;mso-position-vertical-relative:line" coordsize="66700,63">
                <v:shape id="Shape 30467" style="position:absolute;width:66700;height:91;left:0;top:0;" coordsize="6670040,9144" path="m0,0l6670040,0l6670040,9144l0,9144l0,0">
                  <v:stroke weight="0pt" endcap="flat" joinstyle="miter" miterlimit="10" on="false" color="#000000" opacity="0"/>
                  <v:fill on="true" color="#666666"/>
                </v:shape>
              </v:group>
            </w:pict>
          </mc:Fallback>
        </mc:AlternateContent>
      </w:r>
    </w:p>
    <w:p w14:paraId="472DF354" w14:textId="77777777" w:rsidR="005D1823" w:rsidRDefault="003C0EB9">
      <w:pPr>
        <w:spacing w:after="0" w:line="259" w:lineRule="auto"/>
        <w:ind w:left="361" w:firstLine="0"/>
      </w:pPr>
      <w:r>
        <w:t xml:space="preserve"> </w:t>
      </w:r>
    </w:p>
    <w:p w14:paraId="48DCB4CF" w14:textId="76619B8E" w:rsidR="005D1823" w:rsidRDefault="003C0EB9">
      <w:pPr>
        <w:ind w:right="4"/>
      </w:pPr>
      <w:r>
        <w:t>Department of Geology and Geophysics, e-mail</w:t>
      </w:r>
      <w:r w:rsidR="00B02938">
        <w:t>:  Business-staff@geo</w:t>
      </w:r>
      <w:r>
        <w:t>.tamu.edu)</w:t>
      </w:r>
      <w:r>
        <w:rPr>
          <w:rFonts w:cs="Calibri"/>
          <w:i/>
        </w:rPr>
        <w:t xml:space="preserve"> </w:t>
      </w:r>
    </w:p>
    <w:sectPr w:rsidR="005D1823">
      <w:headerReference w:type="even" r:id="rId64"/>
      <w:headerReference w:type="default" r:id="rId65"/>
      <w:footerReference w:type="even" r:id="rId66"/>
      <w:footerReference w:type="default" r:id="rId67"/>
      <w:headerReference w:type="first" r:id="rId68"/>
      <w:footerReference w:type="first" r:id="rId69"/>
      <w:footnotePr>
        <w:numRestart w:val="eachPage"/>
      </w:footnotePr>
      <w:pgSz w:w="12240" w:h="15840"/>
      <w:pgMar w:top="1034" w:right="735" w:bottom="1241" w:left="360" w:header="72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67D7" w14:textId="77777777" w:rsidR="00F128BA" w:rsidRDefault="00F128BA">
      <w:pPr>
        <w:spacing w:after="0" w:line="240" w:lineRule="auto"/>
      </w:pPr>
      <w:r>
        <w:separator/>
      </w:r>
    </w:p>
  </w:endnote>
  <w:endnote w:type="continuationSeparator" w:id="0">
    <w:p w14:paraId="6A337571" w14:textId="77777777" w:rsidR="00F128BA" w:rsidRDefault="00F1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4FB5" w14:textId="77777777" w:rsidR="005D1823" w:rsidRDefault="003C0EB9">
    <w:pPr>
      <w:spacing w:after="0" w:line="259" w:lineRule="auto"/>
      <w:ind w:left="360" w:right="-70" w:firstLine="0"/>
      <w:jc w:val="right"/>
    </w:pPr>
    <w:r>
      <w:rPr>
        <w:rFonts w:ascii="Times New Roman" w:eastAsia="Times New Roman" w:hAnsi="Times New Roman"/>
        <w:sz w:val="20"/>
      </w:rPr>
      <w:t xml:space="preserve"> </w:t>
    </w:r>
  </w:p>
  <w:p w14:paraId="777DAEFD" w14:textId="77777777" w:rsidR="005D1823" w:rsidRDefault="003C0EB9">
    <w:pPr>
      <w:spacing w:after="0" w:line="259" w:lineRule="auto"/>
      <w:ind w:left="0" w:right="-70" w:firstLine="0"/>
      <w:jc w:val="right"/>
    </w:pPr>
    <w:r>
      <w:rPr>
        <w:rFonts w:cs="Calibri"/>
        <w:noProof/>
      </w:rPr>
      <mc:AlternateContent>
        <mc:Choice Requires="wpg">
          <w:drawing>
            <wp:anchor distT="0" distB="0" distL="114300" distR="114300" simplePos="0" relativeHeight="251661312" behindDoc="0" locked="0" layoutInCell="1" allowOverlap="1" wp14:anchorId="54FC21AB" wp14:editId="67A47B9B">
              <wp:simplePos x="0" y="0"/>
              <wp:positionH relativeFrom="page">
                <wp:posOffset>457200</wp:posOffset>
              </wp:positionH>
              <wp:positionV relativeFrom="page">
                <wp:posOffset>9501429</wp:posOffset>
              </wp:positionV>
              <wp:extent cx="6767195" cy="137795"/>
              <wp:effectExtent l="0" t="0" r="0" b="0"/>
              <wp:wrapSquare wrapText="bothSides"/>
              <wp:docPr id="29758" name="Group 29758"/>
              <wp:cNvGraphicFramePr/>
              <a:graphic xmlns:a="http://schemas.openxmlformats.org/drawingml/2006/main">
                <a:graphicData uri="http://schemas.microsoft.com/office/word/2010/wordprocessingGroup">
                  <wpg:wgp>
                    <wpg:cNvGrpSpPr/>
                    <wpg:grpSpPr>
                      <a:xfrm>
                        <a:off x="0" y="0"/>
                        <a:ext cx="6767195" cy="137795"/>
                        <a:chOff x="0" y="0"/>
                        <a:chExt cx="6767195" cy="137795"/>
                      </a:xfrm>
                    </wpg:grpSpPr>
                    <wps:wsp>
                      <wps:cNvPr id="30478" name="Shape 30478"/>
                      <wps:cNvSpPr/>
                      <wps:spPr>
                        <a:xfrm>
                          <a:off x="0" y="0"/>
                          <a:ext cx="6767195" cy="137795"/>
                        </a:xfrm>
                        <a:custGeom>
                          <a:avLst/>
                          <a:gdLst/>
                          <a:ahLst/>
                          <a:cxnLst/>
                          <a:rect l="0" t="0" r="0" b="0"/>
                          <a:pathLst>
                            <a:path w="6767195" h="137795">
                              <a:moveTo>
                                <a:pt x="0" y="0"/>
                              </a:moveTo>
                              <a:lnTo>
                                <a:pt x="6767195" y="0"/>
                              </a:lnTo>
                              <a:lnTo>
                                <a:pt x="6767195" y="137795"/>
                              </a:lnTo>
                              <a:lnTo>
                                <a:pt x="0" y="137795"/>
                              </a:lnTo>
                              <a:lnTo>
                                <a:pt x="0" y="0"/>
                              </a:lnTo>
                            </a:path>
                          </a:pathLst>
                        </a:custGeom>
                        <a:ln w="0" cap="flat">
                          <a:miter lim="127000"/>
                        </a:ln>
                      </wps:spPr>
                      <wps:style>
                        <a:lnRef idx="0">
                          <a:srgbClr val="000000">
                            <a:alpha val="0"/>
                          </a:srgbClr>
                        </a:lnRef>
                        <a:fillRef idx="1">
                          <a:srgbClr val="707373"/>
                        </a:fillRef>
                        <a:effectRef idx="0">
                          <a:scrgbClr r="0" g="0" b="0"/>
                        </a:effectRef>
                        <a:fontRef idx="none"/>
                      </wps:style>
                      <wps:bodyPr/>
                    </wps:wsp>
                  </wpg:wgp>
                </a:graphicData>
              </a:graphic>
            </wp:anchor>
          </w:drawing>
        </mc:Choice>
        <mc:Fallback xmlns:a="http://schemas.openxmlformats.org/drawingml/2006/main">
          <w:pict>
            <v:group id="Group 29758" style="width:532.85pt;height:10.85pt;position:absolute;mso-position-horizontal-relative:page;mso-position-horizontal:absolute;margin-left:36pt;mso-position-vertical-relative:page;margin-top:748.144pt;" coordsize="67671,1377">
              <v:shape id="Shape 30479" style="position:absolute;width:67671;height:1377;left:0;top:0;" coordsize="6767195,137795" path="m0,0l6767195,0l6767195,137795l0,137795l0,0">
                <v:stroke weight="0pt" endcap="flat" joinstyle="miter" miterlimit="10" on="false" color="#000000" opacity="0"/>
                <v:fill on="true" color="#707373"/>
              </v:shape>
              <w10:wrap type="square"/>
            </v:group>
          </w:pict>
        </mc:Fallback>
      </mc:AlternateContent>
    </w:r>
    <w:r>
      <w:rPr>
        <w:rFonts w:ascii="Times New Roman" w:eastAsia="Times New Roman" w:hAnsi="Times New Roman"/>
        <w:sz w:val="20"/>
      </w:rPr>
      <w:t xml:space="preserve"> </w:t>
    </w:r>
  </w:p>
  <w:p w14:paraId="2BAF10C1" w14:textId="77777777" w:rsidR="005D1823" w:rsidRDefault="003C0EB9">
    <w:pPr>
      <w:tabs>
        <w:tab w:val="center" w:pos="2759"/>
        <w:tab w:val="center" w:pos="6303"/>
        <w:tab w:val="center" w:pos="10182"/>
      </w:tabs>
      <w:spacing w:after="0" w:line="259" w:lineRule="auto"/>
      <w:ind w:left="0" w:firstLine="0"/>
    </w:pPr>
    <w:r>
      <w:rPr>
        <w:rFonts w:cs="Calibri"/>
      </w:rPr>
      <w:tab/>
    </w:r>
    <w:r>
      <w:rPr>
        <w:rFonts w:cs="Calibri"/>
        <w:b/>
        <w:sz w:val="20"/>
      </w:rPr>
      <w:t>Geology and Geophysics Guidelines for Faculty Evaluation</w:t>
    </w:r>
    <w:r>
      <w:rPr>
        <w:sz w:val="20"/>
      </w:rPr>
      <w:t xml:space="preserve">  </w:t>
    </w:r>
    <w:r>
      <w:rPr>
        <w:sz w:val="20"/>
      </w:rPr>
      <w:tab/>
      <w:t xml:space="preserve">                                        </w:t>
    </w:r>
    <w:r>
      <w:rPr>
        <w:sz w:val="20"/>
      </w:rPr>
      <w:tab/>
      <w:t xml:space="preserve"> Page </w:t>
    </w:r>
    <w:r>
      <w:fldChar w:fldCharType="begin"/>
    </w:r>
    <w:r>
      <w:instrText xml:space="preserve"> PAGE   \* MERGEFORMAT </w:instrText>
    </w:r>
    <w:r>
      <w:fldChar w:fldCharType="separate"/>
    </w:r>
    <w:r>
      <w:rPr>
        <w:rFonts w:cs="Calibri"/>
        <w:b/>
        <w:sz w:val="20"/>
      </w:rPr>
      <w:t>10</w:t>
    </w:r>
    <w:r>
      <w:rPr>
        <w:rFonts w:cs="Calibri"/>
        <w:b/>
        <w:sz w:val="20"/>
      </w:rPr>
      <w:fldChar w:fldCharType="end"/>
    </w:r>
    <w:r>
      <w:rPr>
        <w:sz w:val="20"/>
      </w:rPr>
      <w:t xml:space="preserve"> of </w:t>
    </w:r>
    <w:fldSimple w:instr=" NUMPAGES   \* MERGEFORMAT ">
      <w:r>
        <w:rPr>
          <w:rFonts w:cs="Calibri"/>
          <w:b/>
          <w:sz w:val="20"/>
        </w:rPr>
        <w:t>20</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610F" w14:textId="77777777" w:rsidR="005D1823" w:rsidRDefault="003C0EB9">
    <w:pPr>
      <w:spacing w:after="0" w:line="259" w:lineRule="auto"/>
      <w:ind w:left="360" w:right="-70" w:firstLine="0"/>
      <w:jc w:val="right"/>
    </w:pPr>
    <w:r>
      <w:rPr>
        <w:rFonts w:ascii="Times New Roman" w:eastAsia="Times New Roman" w:hAnsi="Times New Roman"/>
        <w:sz w:val="20"/>
      </w:rPr>
      <w:t xml:space="preserve"> </w:t>
    </w:r>
  </w:p>
  <w:p w14:paraId="317A4A9A" w14:textId="77777777" w:rsidR="005D1823" w:rsidRDefault="003C0EB9">
    <w:pPr>
      <w:spacing w:after="0" w:line="259" w:lineRule="auto"/>
      <w:ind w:left="0" w:right="-70" w:firstLine="0"/>
      <w:jc w:val="right"/>
    </w:pPr>
    <w:r>
      <w:rPr>
        <w:rFonts w:cs="Calibri"/>
        <w:noProof/>
      </w:rPr>
      <mc:AlternateContent>
        <mc:Choice Requires="wpg">
          <w:drawing>
            <wp:anchor distT="0" distB="0" distL="114300" distR="114300" simplePos="0" relativeHeight="251662336" behindDoc="0" locked="0" layoutInCell="1" allowOverlap="1" wp14:anchorId="2C26C506" wp14:editId="6661373E">
              <wp:simplePos x="0" y="0"/>
              <wp:positionH relativeFrom="page">
                <wp:posOffset>457200</wp:posOffset>
              </wp:positionH>
              <wp:positionV relativeFrom="page">
                <wp:posOffset>9501429</wp:posOffset>
              </wp:positionV>
              <wp:extent cx="6767195" cy="137795"/>
              <wp:effectExtent l="0" t="0" r="0" b="0"/>
              <wp:wrapSquare wrapText="bothSides"/>
              <wp:docPr id="29731" name="Group 29731"/>
              <wp:cNvGraphicFramePr/>
              <a:graphic xmlns:a="http://schemas.openxmlformats.org/drawingml/2006/main">
                <a:graphicData uri="http://schemas.microsoft.com/office/word/2010/wordprocessingGroup">
                  <wpg:wgp>
                    <wpg:cNvGrpSpPr/>
                    <wpg:grpSpPr>
                      <a:xfrm>
                        <a:off x="0" y="0"/>
                        <a:ext cx="6767195" cy="137795"/>
                        <a:chOff x="0" y="0"/>
                        <a:chExt cx="6767195" cy="137795"/>
                      </a:xfrm>
                    </wpg:grpSpPr>
                    <wps:wsp>
                      <wps:cNvPr id="30476" name="Shape 30476"/>
                      <wps:cNvSpPr/>
                      <wps:spPr>
                        <a:xfrm>
                          <a:off x="0" y="0"/>
                          <a:ext cx="6767195" cy="137795"/>
                        </a:xfrm>
                        <a:custGeom>
                          <a:avLst/>
                          <a:gdLst/>
                          <a:ahLst/>
                          <a:cxnLst/>
                          <a:rect l="0" t="0" r="0" b="0"/>
                          <a:pathLst>
                            <a:path w="6767195" h="137795">
                              <a:moveTo>
                                <a:pt x="0" y="0"/>
                              </a:moveTo>
                              <a:lnTo>
                                <a:pt x="6767195" y="0"/>
                              </a:lnTo>
                              <a:lnTo>
                                <a:pt x="6767195" y="137795"/>
                              </a:lnTo>
                              <a:lnTo>
                                <a:pt x="0" y="137795"/>
                              </a:lnTo>
                              <a:lnTo>
                                <a:pt x="0" y="0"/>
                              </a:lnTo>
                            </a:path>
                          </a:pathLst>
                        </a:custGeom>
                        <a:ln w="0" cap="flat">
                          <a:miter lim="127000"/>
                        </a:ln>
                      </wps:spPr>
                      <wps:style>
                        <a:lnRef idx="0">
                          <a:srgbClr val="000000">
                            <a:alpha val="0"/>
                          </a:srgbClr>
                        </a:lnRef>
                        <a:fillRef idx="1">
                          <a:srgbClr val="707373"/>
                        </a:fillRef>
                        <a:effectRef idx="0">
                          <a:scrgbClr r="0" g="0" b="0"/>
                        </a:effectRef>
                        <a:fontRef idx="none"/>
                      </wps:style>
                      <wps:bodyPr/>
                    </wps:wsp>
                  </wpg:wgp>
                </a:graphicData>
              </a:graphic>
            </wp:anchor>
          </w:drawing>
        </mc:Choice>
        <mc:Fallback xmlns:a="http://schemas.openxmlformats.org/drawingml/2006/main">
          <w:pict>
            <v:group id="Group 29731" style="width:532.85pt;height:10.85pt;position:absolute;mso-position-horizontal-relative:page;mso-position-horizontal:absolute;margin-left:36pt;mso-position-vertical-relative:page;margin-top:748.144pt;" coordsize="67671,1377">
              <v:shape id="Shape 30477" style="position:absolute;width:67671;height:1377;left:0;top:0;" coordsize="6767195,137795" path="m0,0l6767195,0l6767195,137795l0,137795l0,0">
                <v:stroke weight="0pt" endcap="flat" joinstyle="miter" miterlimit="10" on="false" color="#000000" opacity="0"/>
                <v:fill on="true" color="#707373"/>
              </v:shape>
              <w10:wrap type="square"/>
            </v:group>
          </w:pict>
        </mc:Fallback>
      </mc:AlternateContent>
    </w:r>
    <w:r>
      <w:rPr>
        <w:rFonts w:ascii="Times New Roman" w:eastAsia="Times New Roman" w:hAnsi="Times New Roman"/>
        <w:sz w:val="20"/>
      </w:rPr>
      <w:t xml:space="preserve"> </w:t>
    </w:r>
  </w:p>
  <w:p w14:paraId="3B8CBABB" w14:textId="77777777" w:rsidR="005D1823" w:rsidRDefault="003C0EB9">
    <w:pPr>
      <w:tabs>
        <w:tab w:val="center" w:pos="2759"/>
        <w:tab w:val="center" w:pos="6303"/>
        <w:tab w:val="center" w:pos="10182"/>
      </w:tabs>
      <w:spacing w:after="0" w:line="259" w:lineRule="auto"/>
      <w:ind w:left="0" w:firstLine="0"/>
    </w:pPr>
    <w:r>
      <w:rPr>
        <w:rFonts w:cs="Calibri"/>
      </w:rPr>
      <w:tab/>
    </w:r>
    <w:r>
      <w:rPr>
        <w:rFonts w:cs="Calibri"/>
        <w:b/>
        <w:sz w:val="20"/>
      </w:rPr>
      <w:t>Geology and Geophysics Guidelines for Faculty Evaluation</w:t>
    </w:r>
    <w:r>
      <w:rPr>
        <w:sz w:val="20"/>
      </w:rPr>
      <w:t xml:space="preserve">  </w:t>
    </w:r>
    <w:r>
      <w:rPr>
        <w:sz w:val="20"/>
      </w:rPr>
      <w:tab/>
      <w:t xml:space="preserve">                                        </w:t>
    </w:r>
    <w:r>
      <w:rPr>
        <w:sz w:val="20"/>
      </w:rPr>
      <w:tab/>
      <w:t xml:space="preserve"> Page </w:t>
    </w:r>
    <w:r>
      <w:fldChar w:fldCharType="begin"/>
    </w:r>
    <w:r>
      <w:instrText xml:space="preserve"> PAGE   \* MERGEFORMAT </w:instrText>
    </w:r>
    <w:r>
      <w:fldChar w:fldCharType="separate"/>
    </w:r>
    <w:r>
      <w:rPr>
        <w:rFonts w:cs="Calibri"/>
        <w:b/>
        <w:sz w:val="20"/>
      </w:rPr>
      <w:t>10</w:t>
    </w:r>
    <w:r>
      <w:rPr>
        <w:rFonts w:cs="Calibri"/>
        <w:b/>
        <w:sz w:val="20"/>
      </w:rPr>
      <w:fldChar w:fldCharType="end"/>
    </w:r>
    <w:r>
      <w:rPr>
        <w:sz w:val="20"/>
      </w:rPr>
      <w:t xml:space="preserve"> of </w:t>
    </w:r>
    <w:fldSimple w:instr=" NUMPAGES   \* MERGEFORMAT ">
      <w:r>
        <w:rPr>
          <w:rFonts w:cs="Calibri"/>
          <w:b/>
          <w:sz w:val="20"/>
        </w:rPr>
        <w:t>20</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DB69" w14:textId="77777777" w:rsidR="005D1823" w:rsidRDefault="003C0EB9">
    <w:pPr>
      <w:spacing w:after="0" w:line="259" w:lineRule="auto"/>
      <w:ind w:left="360" w:right="-70" w:firstLine="0"/>
      <w:jc w:val="right"/>
    </w:pPr>
    <w:r>
      <w:rPr>
        <w:rFonts w:ascii="Times New Roman" w:eastAsia="Times New Roman" w:hAnsi="Times New Roman"/>
        <w:sz w:val="20"/>
      </w:rPr>
      <w:t xml:space="preserve"> </w:t>
    </w:r>
  </w:p>
  <w:p w14:paraId="1229498D" w14:textId="77777777" w:rsidR="005D1823" w:rsidRDefault="003C0EB9">
    <w:pPr>
      <w:spacing w:after="0" w:line="259" w:lineRule="auto"/>
      <w:ind w:left="0" w:right="-70" w:firstLine="0"/>
      <w:jc w:val="right"/>
    </w:pPr>
    <w:r>
      <w:rPr>
        <w:rFonts w:cs="Calibri"/>
        <w:noProof/>
      </w:rPr>
      <mc:AlternateContent>
        <mc:Choice Requires="wpg">
          <w:drawing>
            <wp:anchor distT="0" distB="0" distL="114300" distR="114300" simplePos="0" relativeHeight="251663360" behindDoc="0" locked="0" layoutInCell="1" allowOverlap="1" wp14:anchorId="3A912AFA" wp14:editId="6E2A9069">
              <wp:simplePos x="0" y="0"/>
              <wp:positionH relativeFrom="page">
                <wp:posOffset>457200</wp:posOffset>
              </wp:positionH>
              <wp:positionV relativeFrom="page">
                <wp:posOffset>9501429</wp:posOffset>
              </wp:positionV>
              <wp:extent cx="6767195" cy="137795"/>
              <wp:effectExtent l="0" t="0" r="0" b="0"/>
              <wp:wrapSquare wrapText="bothSides"/>
              <wp:docPr id="29704" name="Group 29704"/>
              <wp:cNvGraphicFramePr/>
              <a:graphic xmlns:a="http://schemas.openxmlformats.org/drawingml/2006/main">
                <a:graphicData uri="http://schemas.microsoft.com/office/word/2010/wordprocessingGroup">
                  <wpg:wgp>
                    <wpg:cNvGrpSpPr/>
                    <wpg:grpSpPr>
                      <a:xfrm>
                        <a:off x="0" y="0"/>
                        <a:ext cx="6767195" cy="137795"/>
                        <a:chOff x="0" y="0"/>
                        <a:chExt cx="6767195" cy="137795"/>
                      </a:xfrm>
                    </wpg:grpSpPr>
                    <wps:wsp>
                      <wps:cNvPr id="30474" name="Shape 30474"/>
                      <wps:cNvSpPr/>
                      <wps:spPr>
                        <a:xfrm>
                          <a:off x="0" y="0"/>
                          <a:ext cx="6767195" cy="137795"/>
                        </a:xfrm>
                        <a:custGeom>
                          <a:avLst/>
                          <a:gdLst/>
                          <a:ahLst/>
                          <a:cxnLst/>
                          <a:rect l="0" t="0" r="0" b="0"/>
                          <a:pathLst>
                            <a:path w="6767195" h="137795">
                              <a:moveTo>
                                <a:pt x="0" y="0"/>
                              </a:moveTo>
                              <a:lnTo>
                                <a:pt x="6767195" y="0"/>
                              </a:lnTo>
                              <a:lnTo>
                                <a:pt x="6767195" y="137795"/>
                              </a:lnTo>
                              <a:lnTo>
                                <a:pt x="0" y="137795"/>
                              </a:lnTo>
                              <a:lnTo>
                                <a:pt x="0" y="0"/>
                              </a:lnTo>
                            </a:path>
                          </a:pathLst>
                        </a:custGeom>
                        <a:ln w="0" cap="flat">
                          <a:miter lim="127000"/>
                        </a:ln>
                      </wps:spPr>
                      <wps:style>
                        <a:lnRef idx="0">
                          <a:srgbClr val="000000">
                            <a:alpha val="0"/>
                          </a:srgbClr>
                        </a:lnRef>
                        <a:fillRef idx="1">
                          <a:srgbClr val="707373"/>
                        </a:fillRef>
                        <a:effectRef idx="0">
                          <a:scrgbClr r="0" g="0" b="0"/>
                        </a:effectRef>
                        <a:fontRef idx="none"/>
                      </wps:style>
                      <wps:bodyPr/>
                    </wps:wsp>
                  </wpg:wgp>
                </a:graphicData>
              </a:graphic>
            </wp:anchor>
          </w:drawing>
        </mc:Choice>
        <mc:Fallback xmlns:a="http://schemas.openxmlformats.org/drawingml/2006/main">
          <w:pict>
            <v:group id="Group 29704" style="width:532.85pt;height:10.85pt;position:absolute;mso-position-horizontal-relative:page;mso-position-horizontal:absolute;margin-left:36pt;mso-position-vertical-relative:page;margin-top:748.144pt;" coordsize="67671,1377">
              <v:shape id="Shape 30475" style="position:absolute;width:67671;height:1377;left:0;top:0;" coordsize="6767195,137795" path="m0,0l6767195,0l6767195,137795l0,137795l0,0">
                <v:stroke weight="0pt" endcap="flat" joinstyle="miter" miterlimit="10" on="false" color="#000000" opacity="0"/>
                <v:fill on="true" color="#707373"/>
              </v:shape>
              <w10:wrap type="square"/>
            </v:group>
          </w:pict>
        </mc:Fallback>
      </mc:AlternateContent>
    </w:r>
    <w:r>
      <w:rPr>
        <w:rFonts w:ascii="Times New Roman" w:eastAsia="Times New Roman" w:hAnsi="Times New Roman"/>
        <w:sz w:val="20"/>
      </w:rPr>
      <w:t xml:space="preserve"> </w:t>
    </w:r>
  </w:p>
  <w:p w14:paraId="54F76A2F" w14:textId="77777777" w:rsidR="005D1823" w:rsidRDefault="003C0EB9">
    <w:pPr>
      <w:tabs>
        <w:tab w:val="center" w:pos="2759"/>
        <w:tab w:val="center" w:pos="6303"/>
        <w:tab w:val="center" w:pos="10182"/>
      </w:tabs>
      <w:spacing w:after="0" w:line="259" w:lineRule="auto"/>
      <w:ind w:left="0" w:firstLine="0"/>
    </w:pPr>
    <w:r>
      <w:rPr>
        <w:rFonts w:cs="Calibri"/>
      </w:rPr>
      <w:tab/>
    </w:r>
    <w:r>
      <w:rPr>
        <w:rFonts w:cs="Calibri"/>
        <w:b/>
        <w:sz w:val="20"/>
      </w:rPr>
      <w:t>Geology and Geophysics Guidelines for Faculty Evaluation</w:t>
    </w:r>
    <w:r>
      <w:rPr>
        <w:sz w:val="20"/>
      </w:rPr>
      <w:t xml:space="preserve">  </w:t>
    </w:r>
    <w:r>
      <w:rPr>
        <w:sz w:val="20"/>
      </w:rPr>
      <w:tab/>
      <w:t xml:space="preserve">                                        </w:t>
    </w:r>
    <w:r>
      <w:rPr>
        <w:sz w:val="20"/>
      </w:rPr>
      <w:tab/>
      <w:t xml:space="preserve"> Page </w:t>
    </w:r>
    <w:r>
      <w:fldChar w:fldCharType="begin"/>
    </w:r>
    <w:r>
      <w:instrText xml:space="preserve"> PAGE   \* MERGEFORMAT </w:instrText>
    </w:r>
    <w:r>
      <w:fldChar w:fldCharType="separate"/>
    </w:r>
    <w:r>
      <w:rPr>
        <w:rFonts w:cs="Calibri"/>
        <w:b/>
        <w:sz w:val="20"/>
      </w:rPr>
      <w:t>10</w:t>
    </w:r>
    <w:r>
      <w:rPr>
        <w:rFonts w:cs="Calibri"/>
        <w:b/>
        <w:sz w:val="20"/>
      </w:rPr>
      <w:fldChar w:fldCharType="end"/>
    </w:r>
    <w:r>
      <w:rPr>
        <w:sz w:val="20"/>
      </w:rPr>
      <w:t xml:space="preserve"> of </w:t>
    </w:r>
    <w:fldSimple w:instr=" NUMPAGES   \* MERGEFORMAT ">
      <w:r>
        <w:rPr>
          <w:rFonts w:cs="Calibri"/>
          <w:b/>
          <w:sz w:val="20"/>
        </w:rPr>
        <w:t>20</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CDA4" w14:textId="77777777" w:rsidR="00F128BA" w:rsidRDefault="00F128BA">
      <w:pPr>
        <w:spacing w:after="0" w:line="259" w:lineRule="auto"/>
        <w:ind w:left="361" w:firstLine="0"/>
      </w:pPr>
      <w:r>
        <w:separator/>
      </w:r>
    </w:p>
  </w:footnote>
  <w:footnote w:type="continuationSeparator" w:id="0">
    <w:p w14:paraId="57A44320" w14:textId="77777777" w:rsidR="00F128BA" w:rsidRDefault="00F128BA">
      <w:pPr>
        <w:spacing w:after="0" w:line="259" w:lineRule="auto"/>
        <w:ind w:left="361" w:firstLine="0"/>
      </w:pPr>
      <w:r>
        <w:continuationSeparator/>
      </w:r>
    </w:p>
  </w:footnote>
  <w:footnote w:id="1">
    <w:p w14:paraId="71F2F2F2" w14:textId="77777777" w:rsidR="005D1823" w:rsidRDefault="003C0EB9">
      <w:pPr>
        <w:pStyle w:val="footnotedescription"/>
      </w:pPr>
      <w:r>
        <w:rPr>
          <w:rStyle w:val="footnotemark"/>
        </w:rPr>
        <w:footnoteRef/>
      </w:r>
      <w:r>
        <w:t xml:space="preserve"> It is recommended that faculty who hold budgeted joint appointments complete the post-tenure review in both units.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6CA9" w14:textId="77777777" w:rsidR="009D5B3E" w:rsidRDefault="009D5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5F43" w14:textId="77777777" w:rsidR="009D5B3E" w:rsidRDefault="009D5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8B06" w14:textId="77777777" w:rsidR="009D5B3E" w:rsidRDefault="009D5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C43"/>
    <w:multiLevelType w:val="hybridMultilevel"/>
    <w:tmpl w:val="EB0A9528"/>
    <w:lvl w:ilvl="0" w:tplc="BE9843D6">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2E31A">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D83A54">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3A51EA">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255C6">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2C0484">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40DC3C">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A8626">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8C74A6">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5C1C1A"/>
    <w:multiLevelType w:val="hybridMultilevel"/>
    <w:tmpl w:val="7C067E18"/>
    <w:lvl w:ilvl="0" w:tplc="03A296D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6FA6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7E9CE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68ABB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005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AA343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00643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822E1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EA8D2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643FA9"/>
    <w:multiLevelType w:val="hybridMultilevel"/>
    <w:tmpl w:val="D4C2BD62"/>
    <w:lvl w:ilvl="0" w:tplc="FBCC44DE">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6DC0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6FDD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2AAD4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14C58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C26AE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92323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E6B1C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BC30C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1F1823"/>
    <w:multiLevelType w:val="hybridMultilevel"/>
    <w:tmpl w:val="57D01BCA"/>
    <w:lvl w:ilvl="0" w:tplc="6B3E86CA">
      <w:start w:val="1"/>
      <w:numFmt w:val="bullet"/>
      <w:lvlText w:val="•"/>
      <w:lvlJc w:val="left"/>
      <w:pPr>
        <w:ind w:left="14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A0679DC">
      <w:start w:val="1"/>
      <w:numFmt w:val="bullet"/>
      <w:lvlText w:val="o"/>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B2E94D2">
      <w:start w:val="1"/>
      <w:numFmt w:val="bullet"/>
      <w:lvlText w:val="▪"/>
      <w:lvlJc w:val="left"/>
      <w:pPr>
        <w:ind w:left="25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F56FCD4">
      <w:start w:val="1"/>
      <w:numFmt w:val="bullet"/>
      <w:lvlText w:val="•"/>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23CB62C">
      <w:start w:val="1"/>
      <w:numFmt w:val="bullet"/>
      <w:lvlText w:val="o"/>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7800768">
      <w:start w:val="1"/>
      <w:numFmt w:val="bullet"/>
      <w:lvlText w:val="▪"/>
      <w:lvlJc w:val="left"/>
      <w:pPr>
        <w:ind w:left="46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B728898">
      <w:start w:val="1"/>
      <w:numFmt w:val="bullet"/>
      <w:lvlText w:val="•"/>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2F6807C">
      <w:start w:val="1"/>
      <w:numFmt w:val="bullet"/>
      <w:lvlText w:val="o"/>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DF210A6">
      <w:start w:val="1"/>
      <w:numFmt w:val="bullet"/>
      <w:lvlText w:val="▪"/>
      <w:lvlJc w:val="left"/>
      <w:pPr>
        <w:ind w:left="68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3221028"/>
    <w:multiLevelType w:val="hybridMultilevel"/>
    <w:tmpl w:val="25685172"/>
    <w:lvl w:ilvl="0" w:tplc="DCC4CC4E">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6F47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766DA4">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02E2D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C540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942CAE">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5E1DBC">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F0D9E8">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8262DE">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F65474"/>
    <w:multiLevelType w:val="hybridMultilevel"/>
    <w:tmpl w:val="5FB8A32A"/>
    <w:lvl w:ilvl="0" w:tplc="266C8010">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9801C0">
      <w:start w:val="1"/>
      <w:numFmt w:val="bullet"/>
      <w:lvlText w:val="o"/>
      <w:lvlJc w:val="left"/>
      <w:pPr>
        <w:ind w:left="1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E07A84">
      <w:start w:val="1"/>
      <w:numFmt w:val="bullet"/>
      <w:lvlText w:val="▪"/>
      <w:lvlJc w:val="left"/>
      <w:pPr>
        <w:ind w:left="2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92424A">
      <w:start w:val="1"/>
      <w:numFmt w:val="bullet"/>
      <w:lvlText w:val="•"/>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27202">
      <w:start w:val="1"/>
      <w:numFmt w:val="bullet"/>
      <w:lvlText w:val="o"/>
      <w:lvlJc w:val="left"/>
      <w:pPr>
        <w:ind w:left="3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F4CC64">
      <w:start w:val="1"/>
      <w:numFmt w:val="bullet"/>
      <w:lvlText w:val="▪"/>
      <w:lvlJc w:val="left"/>
      <w:pPr>
        <w:ind w:left="4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8E33FC">
      <w:start w:val="1"/>
      <w:numFmt w:val="bullet"/>
      <w:lvlText w:val="•"/>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F00436">
      <w:start w:val="1"/>
      <w:numFmt w:val="bullet"/>
      <w:lvlText w:val="o"/>
      <w:lvlJc w:val="left"/>
      <w:pPr>
        <w:ind w:left="5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D200FE">
      <w:start w:val="1"/>
      <w:numFmt w:val="bullet"/>
      <w:lvlText w:val="▪"/>
      <w:lvlJc w:val="left"/>
      <w:pPr>
        <w:ind w:left="6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E6643F"/>
    <w:multiLevelType w:val="hybridMultilevel"/>
    <w:tmpl w:val="05607692"/>
    <w:lvl w:ilvl="0" w:tplc="1B84DC0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CDA2C">
      <w:start w:val="1"/>
      <w:numFmt w:val="bullet"/>
      <w:lvlText w:val="o"/>
      <w:lvlJc w:val="left"/>
      <w:pPr>
        <w:ind w:left="1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7CBF5E">
      <w:start w:val="1"/>
      <w:numFmt w:val="bullet"/>
      <w:lvlText w:val="▪"/>
      <w:lvlJc w:val="left"/>
      <w:pPr>
        <w:ind w:left="2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F2A48C">
      <w:start w:val="1"/>
      <w:numFmt w:val="bullet"/>
      <w:lvlText w:val="•"/>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8C04A4">
      <w:start w:val="1"/>
      <w:numFmt w:val="bullet"/>
      <w:lvlText w:val="o"/>
      <w:lvlJc w:val="left"/>
      <w:pPr>
        <w:ind w:left="3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E4668A">
      <w:start w:val="1"/>
      <w:numFmt w:val="bullet"/>
      <w:lvlText w:val="▪"/>
      <w:lvlJc w:val="left"/>
      <w:pPr>
        <w:ind w:left="4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F2B934">
      <w:start w:val="1"/>
      <w:numFmt w:val="bullet"/>
      <w:lvlText w:val="•"/>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2CC55A">
      <w:start w:val="1"/>
      <w:numFmt w:val="bullet"/>
      <w:lvlText w:val="o"/>
      <w:lvlJc w:val="left"/>
      <w:pPr>
        <w:ind w:left="6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EE2A96">
      <w:start w:val="1"/>
      <w:numFmt w:val="bullet"/>
      <w:lvlText w:val="▪"/>
      <w:lvlJc w:val="left"/>
      <w:pPr>
        <w:ind w:left="6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AF1601"/>
    <w:multiLevelType w:val="hybridMultilevel"/>
    <w:tmpl w:val="D8B6354E"/>
    <w:lvl w:ilvl="0" w:tplc="834ECC6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8C684C">
      <w:start w:val="1"/>
      <w:numFmt w:val="bullet"/>
      <w:lvlText w:val="o"/>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FEEE97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D766414">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74E89CE">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B1A67F2">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64012B8">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8E2A81E">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8886C3E">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0A29A6"/>
    <w:multiLevelType w:val="hybridMultilevel"/>
    <w:tmpl w:val="0776A43C"/>
    <w:lvl w:ilvl="0" w:tplc="409CF2AC">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6BBC4">
      <w:start w:val="1"/>
      <w:numFmt w:val="bullet"/>
      <w:lvlText w:val="o"/>
      <w:lvlJc w:val="left"/>
      <w:pPr>
        <w:ind w:left="1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72E99C">
      <w:start w:val="1"/>
      <w:numFmt w:val="bullet"/>
      <w:lvlText w:val="▪"/>
      <w:lvlJc w:val="left"/>
      <w:pPr>
        <w:ind w:left="2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50FEFA">
      <w:start w:val="1"/>
      <w:numFmt w:val="bullet"/>
      <w:lvlText w:val="•"/>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3C689A">
      <w:start w:val="1"/>
      <w:numFmt w:val="bullet"/>
      <w:lvlText w:val="o"/>
      <w:lvlJc w:val="left"/>
      <w:pPr>
        <w:ind w:left="3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62739C">
      <w:start w:val="1"/>
      <w:numFmt w:val="bullet"/>
      <w:lvlText w:val="▪"/>
      <w:lvlJc w:val="left"/>
      <w:pPr>
        <w:ind w:left="4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B46076">
      <w:start w:val="1"/>
      <w:numFmt w:val="bullet"/>
      <w:lvlText w:val="•"/>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9A1B0C">
      <w:start w:val="1"/>
      <w:numFmt w:val="bullet"/>
      <w:lvlText w:val="o"/>
      <w:lvlJc w:val="left"/>
      <w:pPr>
        <w:ind w:left="5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01516">
      <w:start w:val="1"/>
      <w:numFmt w:val="bullet"/>
      <w:lvlText w:val="▪"/>
      <w:lvlJc w:val="left"/>
      <w:pPr>
        <w:ind w:left="6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0D6916"/>
    <w:multiLevelType w:val="hybridMultilevel"/>
    <w:tmpl w:val="78B41E8E"/>
    <w:lvl w:ilvl="0" w:tplc="A85C6D42">
      <w:start w:val="1"/>
      <w:numFmt w:val="decimal"/>
      <w:lvlText w:val="%1."/>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C4B12">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7E10D6">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1A4F7E">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E2A83E">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32B2DA">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B22346">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16834E">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D81C5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6A6AD4"/>
    <w:multiLevelType w:val="hybridMultilevel"/>
    <w:tmpl w:val="122460DE"/>
    <w:lvl w:ilvl="0" w:tplc="A42CDD5A">
      <w:start w:val="1"/>
      <w:numFmt w:val="decimal"/>
      <w:lvlText w:val="%1."/>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B8AF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F409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67C4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162AD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E6C7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A69E3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3EFF2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D8F1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CE84950"/>
    <w:multiLevelType w:val="hybridMultilevel"/>
    <w:tmpl w:val="712C1D46"/>
    <w:lvl w:ilvl="0" w:tplc="5560AD7E">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4D696">
      <w:start w:val="1"/>
      <w:numFmt w:val="bullet"/>
      <w:lvlText w:val="o"/>
      <w:lvlJc w:val="left"/>
      <w:pPr>
        <w:ind w:left="1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6C096E">
      <w:start w:val="1"/>
      <w:numFmt w:val="bullet"/>
      <w:lvlText w:val="▪"/>
      <w:lvlJc w:val="left"/>
      <w:pPr>
        <w:ind w:left="2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3856E8">
      <w:start w:val="1"/>
      <w:numFmt w:val="bullet"/>
      <w:lvlText w:val="•"/>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AFF5A">
      <w:start w:val="1"/>
      <w:numFmt w:val="bullet"/>
      <w:lvlText w:val="o"/>
      <w:lvlJc w:val="left"/>
      <w:pPr>
        <w:ind w:left="3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808E0C">
      <w:start w:val="1"/>
      <w:numFmt w:val="bullet"/>
      <w:lvlText w:val="▪"/>
      <w:lvlJc w:val="left"/>
      <w:pPr>
        <w:ind w:left="4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DE9A2A">
      <w:start w:val="1"/>
      <w:numFmt w:val="bullet"/>
      <w:lvlText w:val="•"/>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47DFE">
      <w:start w:val="1"/>
      <w:numFmt w:val="bullet"/>
      <w:lvlText w:val="o"/>
      <w:lvlJc w:val="left"/>
      <w:pPr>
        <w:ind w:left="5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E6D1D2">
      <w:start w:val="1"/>
      <w:numFmt w:val="bullet"/>
      <w:lvlText w:val="▪"/>
      <w:lvlJc w:val="left"/>
      <w:pPr>
        <w:ind w:left="6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8D6F53"/>
    <w:multiLevelType w:val="hybridMultilevel"/>
    <w:tmpl w:val="244CDF8A"/>
    <w:lvl w:ilvl="0" w:tplc="43CA0304">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C8A34">
      <w:start w:val="1"/>
      <w:numFmt w:val="bullet"/>
      <w:lvlText w:val="o"/>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EE6C90">
      <w:start w:val="1"/>
      <w:numFmt w:val="bullet"/>
      <w:lvlText w:val="▪"/>
      <w:lvlJc w:val="left"/>
      <w:pPr>
        <w:ind w:left="3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642AE6">
      <w:start w:val="1"/>
      <w:numFmt w:val="bullet"/>
      <w:lvlText w:val="•"/>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3A2AF8">
      <w:start w:val="1"/>
      <w:numFmt w:val="bullet"/>
      <w:lvlText w:val="o"/>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C8BE26">
      <w:start w:val="1"/>
      <w:numFmt w:val="bullet"/>
      <w:lvlText w:val="▪"/>
      <w:lvlJc w:val="left"/>
      <w:pPr>
        <w:ind w:left="5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54617E">
      <w:start w:val="1"/>
      <w:numFmt w:val="bullet"/>
      <w:lvlText w:val="•"/>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F0D426">
      <w:start w:val="1"/>
      <w:numFmt w:val="bullet"/>
      <w:lvlText w:val="o"/>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64CA38">
      <w:start w:val="1"/>
      <w:numFmt w:val="bullet"/>
      <w:lvlText w:val="▪"/>
      <w:lvlJc w:val="left"/>
      <w:pPr>
        <w:ind w:left="7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CF6692"/>
    <w:multiLevelType w:val="hybridMultilevel"/>
    <w:tmpl w:val="5C2C5954"/>
    <w:lvl w:ilvl="0" w:tplc="5A3E85C2">
      <w:start w:val="1"/>
      <w:numFmt w:val="decimal"/>
      <w:lvlText w:val="%1."/>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6CF8D8">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1A04E2">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063894">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C8350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F4C69C">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321808">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401342">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0ADD3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FC4AC1"/>
    <w:multiLevelType w:val="hybridMultilevel"/>
    <w:tmpl w:val="41C486B2"/>
    <w:lvl w:ilvl="0" w:tplc="F00EF39E">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CBBD4">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6A87D0">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F4112A">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E0448">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E46AB4">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80C572">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CF2A6">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F223F6">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C80881"/>
    <w:multiLevelType w:val="hybridMultilevel"/>
    <w:tmpl w:val="CC0C829E"/>
    <w:lvl w:ilvl="0" w:tplc="5BFEBACA">
      <w:start w:val="1"/>
      <w:numFmt w:val="bullet"/>
      <w:lvlText w:val="•"/>
      <w:lvlJc w:val="left"/>
      <w:pPr>
        <w:ind w:left="1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693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7841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CA71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0CF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70F3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3615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4615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F003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96649F"/>
    <w:multiLevelType w:val="hybridMultilevel"/>
    <w:tmpl w:val="D82E056C"/>
    <w:lvl w:ilvl="0" w:tplc="7504B840">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CB232">
      <w:start w:val="1"/>
      <w:numFmt w:val="bullet"/>
      <w:lvlText w:val="o"/>
      <w:lvlJc w:val="left"/>
      <w:pPr>
        <w:ind w:left="2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AAC7F4">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06E860">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EF374">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C090F6">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585252">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004278">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1CB9D4">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483350F"/>
    <w:multiLevelType w:val="hybridMultilevel"/>
    <w:tmpl w:val="73144D74"/>
    <w:lvl w:ilvl="0" w:tplc="CB86658E">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7229C2">
      <w:start w:val="1"/>
      <w:numFmt w:val="bullet"/>
      <w:lvlText w:val="o"/>
      <w:lvlJc w:val="left"/>
      <w:pPr>
        <w:ind w:left="17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DE7E38">
      <w:start w:val="1"/>
      <w:numFmt w:val="bullet"/>
      <w:lvlText w:val="▪"/>
      <w:lvlJc w:val="left"/>
      <w:pPr>
        <w:ind w:left="2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EC02A4">
      <w:start w:val="1"/>
      <w:numFmt w:val="bullet"/>
      <w:lvlText w:val="•"/>
      <w:lvlJc w:val="left"/>
      <w:pPr>
        <w:ind w:left="3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8133A">
      <w:start w:val="1"/>
      <w:numFmt w:val="bullet"/>
      <w:lvlText w:val="o"/>
      <w:lvlJc w:val="left"/>
      <w:pPr>
        <w:ind w:left="3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640ACC">
      <w:start w:val="1"/>
      <w:numFmt w:val="bullet"/>
      <w:lvlText w:val="▪"/>
      <w:lvlJc w:val="left"/>
      <w:pPr>
        <w:ind w:left="46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72AB7E">
      <w:start w:val="1"/>
      <w:numFmt w:val="bullet"/>
      <w:lvlText w:val="•"/>
      <w:lvlJc w:val="left"/>
      <w:pPr>
        <w:ind w:left="5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0735E">
      <w:start w:val="1"/>
      <w:numFmt w:val="bullet"/>
      <w:lvlText w:val="o"/>
      <w:lvlJc w:val="left"/>
      <w:pPr>
        <w:ind w:left="6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1CA08E">
      <w:start w:val="1"/>
      <w:numFmt w:val="bullet"/>
      <w:lvlText w:val="▪"/>
      <w:lvlJc w:val="left"/>
      <w:pPr>
        <w:ind w:left="67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EF0E1C"/>
    <w:multiLevelType w:val="hybridMultilevel"/>
    <w:tmpl w:val="E4E4BBBC"/>
    <w:lvl w:ilvl="0" w:tplc="94A4E7E4">
      <w:start w:val="1"/>
      <w:numFmt w:val="bullet"/>
      <w:lvlText w:val="•"/>
      <w:lvlJc w:val="left"/>
      <w:pPr>
        <w:ind w:left="14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75AC660">
      <w:start w:val="1"/>
      <w:numFmt w:val="bullet"/>
      <w:lvlText w:val="o"/>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696E3E0">
      <w:start w:val="1"/>
      <w:numFmt w:val="bullet"/>
      <w:lvlText w:val="▪"/>
      <w:lvlJc w:val="left"/>
      <w:pPr>
        <w:ind w:left="25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B6AB444">
      <w:start w:val="1"/>
      <w:numFmt w:val="bullet"/>
      <w:lvlText w:val="•"/>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72E3902">
      <w:start w:val="1"/>
      <w:numFmt w:val="bullet"/>
      <w:lvlText w:val="o"/>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30A8C20">
      <w:start w:val="1"/>
      <w:numFmt w:val="bullet"/>
      <w:lvlText w:val="▪"/>
      <w:lvlJc w:val="left"/>
      <w:pPr>
        <w:ind w:left="46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C9A3B6E">
      <w:start w:val="1"/>
      <w:numFmt w:val="bullet"/>
      <w:lvlText w:val="•"/>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A08F288">
      <w:start w:val="1"/>
      <w:numFmt w:val="bullet"/>
      <w:lvlText w:val="o"/>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962F45C">
      <w:start w:val="1"/>
      <w:numFmt w:val="bullet"/>
      <w:lvlText w:val="▪"/>
      <w:lvlJc w:val="left"/>
      <w:pPr>
        <w:ind w:left="68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68636D8"/>
    <w:multiLevelType w:val="hybridMultilevel"/>
    <w:tmpl w:val="9B2EE2FE"/>
    <w:lvl w:ilvl="0" w:tplc="DFB00914">
      <w:start w:val="1"/>
      <w:numFmt w:val="decimal"/>
      <w:lvlText w:val="%1."/>
      <w:lvlJc w:val="left"/>
      <w:pPr>
        <w:ind w:left="1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D8B73A">
      <w:start w:val="1"/>
      <w:numFmt w:val="lowerLetter"/>
      <w:lvlText w:val="%2"/>
      <w:lvlJc w:val="left"/>
      <w:pPr>
        <w:ind w:left="2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66B1D6">
      <w:start w:val="1"/>
      <w:numFmt w:val="lowerRoman"/>
      <w:lvlText w:val="%3"/>
      <w:lvlJc w:val="left"/>
      <w:pPr>
        <w:ind w:left="2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E2666E">
      <w:start w:val="1"/>
      <w:numFmt w:val="decimal"/>
      <w:lvlText w:val="%4"/>
      <w:lvlJc w:val="left"/>
      <w:pPr>
        <w:ind w:left="3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50C20E">
      <w:start w:val="1"/>
      <w:numFmt w:val="lowerLetter"/>
      <w:lvlText w:val="%5"/>
      <w:lvlJc w:val="left"/>
      <w:pPr>
        <w:ind w:left="4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BA1460">
      <w:start w:val="1"/>
      <w:numFmt w:val="lowerRoman"/>
      <w:lvlText w:val="%6"/>
      <w:lvlJc w:val="left"/>
      <w:pPr>
        <w:ind w:left="4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BC3C52">
      <w:start w:val="1"/>
      <w:numFmt w:val="decimal"/>
      <w:lvlText w:val="%7"/>
      <w:lvlJc w:val="left"/>
      <w:pPr>
        <w:ind w:left="5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18F53C">
      <w:start w:val="1"/>
      <w:numFmt w:val="lowerLetter"/>
      <w:lvlText w:val="%8"/>
      <w:lvlJc w:val="left"/>
      <w:pPr>
        <w:ind w:left="6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4EE418">
      <w:start w:val="1"/>
      <w:numFmt w:val="lowerRoman"/>
      <w:lvlText w:val="%9"/>
      <w:lvlJc w:val="left"/>
      <w:pPr>
        <w:ind w:left="7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7E615B"/>
    <w:multiLevelType w:val="hybridMultilevel"/>
    <w:tmpl w:val="62EC6828"/>
    <w:lvl w:ilvl="0" w:tplc="608425DA">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CCBD9E">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3E25B0">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62A3A6">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4DA74">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88C0E">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C6E970">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BCF44A">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9AB8E6">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134679"/>
    <w:multiLevelType w:val="hybridMultilevel"/>
    <w:tmpl w:val="879C0A3C"/>
    <w:lvl w:ilvl="0" w:tplc="E0FE02CE">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24830">
      <w:start w:val="1"/>
      <w:numFmt w:val="bullet"/>
      <w:lvlText w:val="o"/>
      <w:lvlJc w:val="left"/>
      <w:pPr>
        <w:ind w:left="1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48344E">
      <w:start w:val="1"/>
      <w:numFmt w:val="bullet"/>
      <w:lvlText w:val="▪"/>
      <w:lvlJc w:val="left"/>
      <w:pPr>
        <w:ind w:left="2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04E87C">
      <w:start w:val="1"/>
      <w:numFmt w:val="bullet"/>
      <w:lvlText w:val="•"/>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6D62">
      <w:start w:val="1"/>
      <w:numFmt w:val="bullet"/>
      <w:lvlText w:val="o"/>
      <w:lvlJc w:val="left"/>
      <w:pPr>
        <w:ind w:left="3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EE0748">
      <w:start w:val="1"/>
      <w:numFmt w:val="bullet"/>
      <w:lvlText w:val="▪"/>
      <w:lvlJc w:val="left"/>
      <w:pPr>
        <w:ind w:left="4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6E4E2E">
      <w:start w:val="1"/>
      <w:numFmt w:val="bullet"/>
      <w:lvlText w:val="•"/>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CDC96">
      <w:start w:val="1"/>
      <w:numFmt w:val="bullet"/>
      <w:lvlText w:val="o"/>
      <w:lvlJc w:val="left"/>
      <w:pPr>
        <w:ind w:left="5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84FE16">
      <w:start w:val="1"/>
      <w:numFmt w:val="bullet"/>
      <w:lvlText w:val="▪"/>
      <w:lvlJc w:val="left"/>
      <w:pPr>
        <w:ind w:left="6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A944C36"/>
    <w:multiLevelType w:val="hybridMultilevel"/>
    <w:tmpl w:val="12908582"/>
    <w:lvl w:ilvl="0" w:tplc="4B1CC97C">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CEA746">
      <w:start w:val="1"/>
      <w:numFmt w:val="bullet"/>
      <w:lvlText w:val="o"/>
      <w:lvlJc w:val="left"/>
      <w:pPr>
        <w:ind w:left="1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98BB4E">
      <w:start w:val="1"/>
      <w:numFmt w:val="bullet"/>
      <w:lvlText w:val="▪"/>
      <w:lvlJc w:val="left"/>
      <w:pPr>
        <w:ind w:left="2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0E51EA">
      <w:start w:val="1"/>
      <w:numFmt w:val="bullet"/>
      <w:lvlText w:val="•"/>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580B94">
      <w:start w:val="1"/>
      <w:numFmt w:val="bullet"/>
      <w:lvlText w:val="o"/>
      <w:lvlJc w:val="left"/>
      <w:pPr>
        <w:ind w:left="3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703DF2">
      <w:start w:val="1"/>
      <w:numFmt w:val="bullet"/>
      <w:lvlText w:val="▪"/>
      <w:lvlJc w:val="left"/>
      <w:pPr>
        <w:ind w:left="4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F049FC">
      <w:start w:val="1"/>
      <w:numFmt w:val="bullet"/>
      <w:lvlText w:val="•"/>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5E9420">
      <w:start w:val="1"/>
      <w:numFmt w:val="bullet"/>
      <w:lvlText w:val="o"/>
      <w:lvlJc w:val="left"/>
      <w:pPr>
        <w:ind w:left="5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201012">
      <w:start w:val="1"/>
      <w:numFmt w:val="bullet"/>
      <w:lvlText w:val="▪"/>
      <w:lvlJc w:val="left"/>
      <w:pPr>
        <w:ind w:left="6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12755727">
    <w:abstractNumId w:val="15"/>
  </w:num>
  <w:num w:numId="2" w16cid:durableId="139538581">
    <w:abstractNumId w:val="16"/>
  </w:num>
  <w:num w:numId="3" w16cid:durableId="1105804221">
    <w:abstractNumId w:val="17"/>
  </w:num>
  <w:num w:numId="4" w16cid:durableId="585699275">
    <w:abstractNumId w:val="8"/>
  </w:num>
  <w:num w:numId="5" w16cid:durableId="604582110">
    <w:abstractNumId w:val="5"/>
  </w:num>
  <w:num w:numId="6" w16cid:durableId="2146657201">
    <w:abstractNumId w:val="21"/>
  </w:num>
  <w:num w:numId="7" w16cid:durableId="106852070">
    <w:abstractNumId w:val="11"/>
  </w:num>
  <w:num w:numId="8" w16cid:durableId="304093396">
    <w:abstractNumId w:val="22"/>
  </w:num>
  <w:num w:numId="9" w16cid:durableId="1625502161">
    <w:abstractNumId w:val="12"/>
  </w:num>
  <w:num w:numId="10" w16cid:durableId="154884068">
    <w:abstractNumId w:val="4"/>
  </w:num>
  <w:num w:numId="11" w16cid:durableId="1557660433">
    <w:abstractNumId w:val="1"/>
  </w:num>
  <w:num w:numId="12" w16cid:durableId="675036247">
    <w:abstractNumId w:val="2"/>
  </w:num>
  <w:num w:numId="13" w16cid:durableId="1842817935">
    <w:abstractNumId w:val="7"/>
  </w:num>
  <w:num w:numId="14" w16cid:durableId="124853617">
    <w:abstractNumId w:val="0"/>
  </w:num>
  <w:num w:numId="15" w16cid:durableId="736711242">
    <w:abstractNumId w:val="14"/>
  </w:num>
  <w:num w:numId="16" w16cid:durableId="1301883735">
    <w:abstractNumId w:val="18"/>
  </w:num>
  <w:num w:numId="17" w16cid:durableId="891814538">
    <w:abstractNumId w:val="3"/>
  </w:num>
  <w:num w:numId="18" w16cid:durableId="1072629665">
    <w:abstractNumId w:val="10"/>
  </w:num>
  <w:num w:numId="19" w16cid:durableId="1141574722">
    <w:abstractNumId w:val="6"/>
  </w:num>
  <w:num w:numId="20" w16cid:durableId="980034423">
    <w:abstractNumId w:val="13"/>
  </w:num>
  <w:num w:numId="21" w16cid:durableId="1240098148">
    <w:abstractNumId w:val="9"/>
  </w:num>
  <w:num w:numId="22" w16cid:durableId="1288589533">
    <w:abstractNumId w:val="20"/>
  </w:num>
  <w:num w:numId="23" w16cid:durableId="18386181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23"/>
    <w:rsid w:val="0004711E"/>
    <w:rsid w:val="000804AF"/>
    <w:rsid w:val="000A6976"/>
    <w:rsid w:val="000B05D5"/>
    <w:rsid w:val="0010753D"/>
    <w:rsid w:val="001173C2"/>
    <w:rsid w:val="00135DCF"/>
    <w:rsid w:val="001B03CB"/>
    <w:rsid w:val="001D694C"/>
    <w:rsid w:val="002056BD"/>
    <w:rsid w:val="00213D24"/>
    <w:rsid w:val="00222B66"/>
    <w:rsid w:val="00225461"/>
    <w:rsid w:val="00254E08"/>
    <w:rsid w:val="00263471"/>
    <w:rsid w:val="00272615"/>
    <w:rsid w:val="00295BD0"/>
    <w:rsid w:val="002C7586"/>
    <w:rsid w:val="003559D4"/>
    <w:rsid w:val="003743F2"/>
    <w:rsid w:val="00375986"/>
    <w:rsid w:val="003C0EB9"/>
    <w:rsid w:val="003C63AB"/>
    <w:rsid w:val="004026DF"/>
    <w:rsid w:val="00413B12"/>
    <w:rsid w:val="00413B58"/>
    <w:rsid w:val="00421283"/>
    <w:rsid w:val="00431A6B"/>
    <w:rsid w:val="0044505B"/>
    <w:rsid w:val="00460BB6"/>
    <w:rsid w:val="00463B48"/>
    <w:rsid w:val="00482DC1"/>
    <w:rsid w:val="004D0D9F"/>
    <w:rsid w:val="004E2F88"/>
    <w:rsid w:val="00501E98"/>
    <w:rsid w:val="00505612"/>
    <w:rsid w:val="00514EFF"/>
    <w:rsid w:val="005250E8"/>
    <w:rsid w:val="005470BD"/>
    <w:rsid w:val="005518A0"/>
    <w:rsid w:val="005728E3"/>
    <w:rsid w:val="00587F69"/>
    <w:rsid w:val="005972EF"/>
    <w:rsid w:val="005D1823"/>
    <w:rsid w:val="00617FD6"/>
    <w:rsid w:val="0062703D"/>
    <w:rsid w:val="006347E7"/>
    <w:rsid w:val="006958F0"/>
    <w:rsid w:val="006E7AD0"/>
    <w:rsid w:val="007046A3"/>
    <w:rsid w:val="00737EED"/>
    <w:rsid w:val="007707CB"/>
    <w:rsid w:val="007A4BA3"/>
    <w:rsid w:val="007C15F5"/>
    <w:rsid w:val="007D256C"/>
    <w:rsid w:val="007D5C0B"/>
    <w:rsid w:val="007F1735"/>
    <w:rsid w:val="008070C5"/>
    <w:rsid w:val="00843047"/>
    <w:rsid w:val="008704CB"/>
    <w:rsid w:val="00891DAB"/>
    <w:rsid w:val="00930673"/>
    <w:rsid w:val="0093338F"/>
    <w:rsid w:val="009418A1"/>
    <w:rsid w:val="00947B14"/>
    <w:rsid w:val="00957F21"/>
    <w:rsid w:val="00963F99"/>
    <w:rsid w:val="00975C34"/>
    <w:rsid w:val="009B4B4C"/>
    <w:rsid w:val="009C2FC5"/>
    <w:rsid w:val="009C58C0"/>
    <w:rsid w:val="009D5B3E"/>
    <w:rsid w:val="00A002DE"/>
    <w:rsid w:val="00A27FE6"/>
    <w:rsid w:val="00A507E8"/>
    <w:rsid w:val="00AD7D55"/>
    <w:rsid w:val="00AE248C"/>
    <w:rsid w:val="00AF652F"/>
    <w:rsid w:val="00B02938"/>
    <w:rsid w:val="00B257A0"/>
    <w:rsid w:val="00B602C2"/>
    <w:rsid w:val="00B918C3"/>
    <w:rsid w:val="00B97A88"/>
    <w:rsid w:val="00BA78C1"/>
    <w:rsid w:val="00BC0C1B"/>
    <w:rsid w:val="00BC33EB"/>
    <w:rsid w:val="00BE1A6B"/>
    <w:rsid w:val="00BE32E7"/>
    <w:rsid w:val="00BE3A54"/>
    <w:rsid w:val="00C1183B"/>
    <w:rsid w:val="00C4050B"/>
    <w:rsid w:val="00C42104"/>
    <w:rsid w:val="00C4320F"/>
    <w:rsid w:val="00C87762"/>
    <w:rsid w:val="00C87BAB"/>
    <w:rsid w:val="00C91816"/>
    <w:rsid w:val="00CA618E"/>
    <w:rsid w:val="00CD09B8"/>
    <w:rsid w:val="00CE7A31"/>
    <w:rsid w:val="00CF61AF"/>
    <w:rsid w:val="00D2057A"/>
    <w:rsid w:val="00D4271A"/>
    <w:rsid w:val="00D5489B"/>
    <w:rsid w:val="00D600B6"/>
    <w:rsid w:val="00D8444B"/>
    <w:rsid w:val="00DB6A97"/>
    <w:rsid w:val="00DB7EFB"/>
    <w:rsid w:val="00E26F47"/>
    <w:rsid w:val="00E60F39"/>
    <w:rsid w:val="00E67AB3"/>
    <w:rsid w:val="00E76F10"/>
    <w:rsid w:val="00E85562"/>
    <w:rsid w:val="00E9640C"/>
    <w:rsid w:val="00EB5D02"/>
    <w:rsid w:val="00EC1CE3"/>
    <w:rsid w:val="00ED1288"/>
    <w:rsid w:val="00F128BA"/>
    <w:rsid w:val="00F210AB"/>
    <w:rsid w:val="00F23B6E"/>
    <w:rsid w:val="00F55512"/>
    <w:rsid w:val="00F558C1"/>
    <w:rsid w:val="00F82FA0"/>
    <w:rsid w:val="00F91327"/>
    <w:rsid w:val="00FB140A"/>
    <w:rsid w:val="00FB58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AC78"/>
  <w15:docId w15:val="{EEAAC00C-A2A8-2C47-8AC3-3BC9CE2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371"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71" w:hanging="10"/>
      <w:outlineLvl w:val="0"/>
    </w:pPr>
    <w:rPr>
      <w:rFonts w:ascii="Cambria" w:eastAsia="Cambria" w:hAnsi="Cambria" w:cs="Cambria"/>
      <w:color w:val="366091"/>
      <w:sz w:val="32"/>
    </w:rPr>
  </w:style>
  <w:style w:type="paragraph" w:styleId="Heading2">
    <w:name w:val="heading 2"/>
    <w:next w:val="Normal"/>
    <w:link w:val="Heading2Char"/>
    <w:uiPriority w:val="9"/>
    <w:unhideWhenUsed/>
    <w:qFormat/>
    <w:pPr>
      <w:keepNext/>
      <w:keepLines/>
      <w:spacing w:after="0" w:line="268" w:lineRule="auto"/>
      <w:ind w:left="371" w:hanging="10"/>
      <w:outlineLvl w:val="1"/>
    </w:pPr>
    <w:rPr>
      <w:rFonts w:ascii="Cambria" w:eastAsia="Cambria" w:hAnsi="Cambria" w:cs="Cambria"/>
      <w:color w:val="366091"/>
      <w:sz w:val="26"/>
    </w:rPr>
  </w:style>
  <w:style w:type="paragraph" w:styleId="Heading3">
    <w:name w:val="heading 3"/>
    <w:next w:val="Normal"/>
    <w:link w:val="Heading3Char"/>
    <w:uiPriority w:val="9"/>
    <w:unhideWhenUsed/>
    <w:qFormat/>
    <w:pPr>
      <w:keepNext/>
      <w:keepLines/>
      <w:spacing w:after="0" w:line="268" w:lineRule="auto"/>
      <w:ind w:left="371" w:hanging="10"/>
      <w:outlineLvl w:val="2"/>
    </w:pPr>
    <w:rPr>
      <w:rFonts w:ascii="Cambria" w:eastAsia="Cambria" w:hAnsi="Cambria" w:cs="Cambria"/>
      <w:color w:val="366091"/>
      <w:sz w:val="26"/>
    </w:rPr>
  </w:style>
  <w:style w:type="paragraph" w:styleId="Heading4">
    <w:name w:val="heading 4"/>
    <w:next w:val="Normal"/>
    <w:link w:val="Heading4Char"/>
    <w:uiPriority w:val="9"/>
    <w:unhideWhenUsed/>
    <w:qFormat/>
    <w:pPr>
      <w:keepNext/>
      <w:keepLines/>
      <w:spacing w:after="0" w:line="259" w:lineRule="auto"/>
      <w:ind w:left="371" w:hanging="10"/>
      <w:outlineLvl w:val="3"/>
    </w:pPr>
    <w:rPr>
      <w:rFonts w:ascii="Cambria" w:eastAsia="Cambria" w:hAnsi="Cambria" w:cs="Cambria"/>
      <w:color w:val="243F61"/>
    </w:rPr>
  </w:style>
  <w:style w:type="paragraph" w:styleId="Heading5">
    <w:name w:val="heading 5"/>
    <w:next w:val="Normal"/>
    <w:link w:val="Heading5Char"/>
    <w:uiPriority w:val="9"/>
    <w:unhideWhenUsed/>
    <w:qFormat/>
    <w:pPr>
      <w:keepNext/>
      <w:keepLines/>
      <w:spacing w:after="22" w:line="259" w:lineRule="auto"/>
      <w:ind w:left="371" w:hanging="10"/>
      <w:outlineLvl w:val="4"/>
    </w:pPr>
    <w:rPr>
      <w:rFonts w:ascii="Cambria" w:eastAsia="Cambria" w:hAnsi="Cambria" w:cs="Cambria"/>
      <w:i/>
      <w:color w:val="36609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mbria" w:eastAsia="Cambria" w:hAnsi="Cambria" w:cs="Cambria"/>
      <w:i/>
      <w:color w:val="366091"/>
      <w:sz w:val="22"/>
    </w:rPr>
  </w:style>
  <w:style w:type="character" w:customStyle="1" w:styleId="Heading4Char">
    <w:name w:val="Heading 4 Char"/>
    <w:link w:val="Heading4"/>
    <w:rPr>
      <w:rFonts w:ascii="Cambria" w:eastAsia="Cambria" w:hAnsi="Cambria" w:cs="Cambria"/>
      <w:color w:val="243F61"/>
      <w:sz w:val="24"/>
    </w:rPr>
  </w:style>
  <w:style w:type="character" w:customStyle="1" w:styleId="Heading3Char">
    <w:name w:val="Heading 3 Char"/>
    <w:link w:val="Heading3"/>
    <w:rPr>
      <w:rFonts w:ascii="Cambria" w:eastAsia="Cambria" w:hAnsi="Cambria" w:cs="Cambria"/>
      <w:color w:val="366091"/>
      <w:sz w:val="26"/>
    </w:rPr>
  </w:style>
  <w:style w:type="paragraph" w:customStyle="1" w:styleId="footnotedescription">
    <w:name w:val="footnote description"/>
    <w:next w:val="Normal"/>
    <w:link w:val="footnotedescriptionChar"/>
    <w:hidden/>
    <w:pPr>
      <w:spacing w:after="0" w:line="259" w:lineRule="auto"/>
      <w:ind w:left="361"/>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mbria" w:eastAsia="Cambria" w:hAnsi="Cambria" w:cs="Cambria"/>
      <w:color w:val="366091"/>
      <w:sz w:val="32"/>
    </w:rPr>
  </w:style>
  <w:style w:type="character" w:customStyle="1" w:styleId="Heading2Char">
    <w:name w:val="Heading 2 Char"/>
    <w:link w:val="Heading2"/>
    <w:rPr>
      <w:rFonts w:ascii="Cambria" w:eastAsia="Cambria" w:hAnsi="Cambria" w:cs="Cambria"/>
      <w:color w:val="366091"/>
      <w:sz w:val="2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42104"/>
    <w:pPr>
      <w:spacing w:after="0" w:line="240" w:lineRule="auto"/>
    </w:pPr>
    <w:rPr>
      <w:rFonts w:ascii="Calibri" w:eastAsia="Calibri" w:hAnsi="Calibri" w:cs="Times New Roman"/>
      <w:color w:val="000000"/>
      <w:sz w:val="22"/>
      <w:lang w:val="en" w:eastAsia="en"/>
    </w:rPr>
  </w:style>
  <w:style w:type="character" w:styleId="CommentReference">
    <w:name w:val="annotation reference"/>
    <w:basedOn w:val="DefaultParagraphFont"/>
    <w:uiPriority w:val="99"/>
    <w:semiHidden/>
    <w:unhideWhenUsed/>
    <w:rsid w:val="00C42104"/>
    <w:rPr>
      <w:sz w:val="16"/>
      <w:szCs w:val="16"/>
    </w:rPr>
  </w:style>
  <w:style w:type="paragraph" w:styleId="CommentText">
    <w:name w:val="annotation text"/>
    <w:basedOn w:val="Normal"/>
    <w:link w:val="CommentTextChar"/>
    <w:uiPriority w:val="99"/>
    <w:semiHidden/>
    <w:unhideWhenUsed/>
    <w:rsid w:val="00C42104"/>
    <w:pPr>
      <w:spacing w:line="240" w:lineRule="auto"/>
    </w:pPr>
    <w:rPr>
      <w:sz w:val="20"/>
      <w:szCs w:val="20"/>
    </w:rPr>
  </w:style>
  <w:style w:type="character" w:customStyle="1" w:styleId="CommentTextChar">
    <w:name w:val="Comment Text Char"/>
    <w:basedOn w:val="DefaultParagraphFont"/>
    <w:link w:val="CommentText"/>
    <w:uiPriority w:val="99"/>
    <w:semiHidden/>
    <w:rsid w:val="00C42104"/>
    <w:rPr>
      <w:rFonts w:ascii="Calibri" w:eastAsia="Calibri" w:hAnsi="Calibri"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C42104"/>
    <w:rPr>
      <w:b/>
      <w:bCs/>
    </w:rPr>
  </w:style>
  <w:style w:type="character" w:customStyle="1" w:styleId="CommentSubjectChar">
    <w:name w:val="Comment Subject Char"/>
    <w:basedOn w:val="CommentTextChar"/>
    <w:link w:val="CommentSubject"/>
    <w:uiPriority w:val="99"/>
    <w:semiHidden/>
    <w:rsid w:val="00C42104"/>
    <w:rPr>
      <w:rFonts w:ascii="Calibri" w:eastAsia="Calibri" w:hAnsi="Calibri" w:cs="Times New Roman"/>
      <w:b/>
      <w:bCs/>
      <w:color w:val="000000"/>
      <w:sz w:val="20"/>
      <w:szCs w:val="20"/>
      <w:lang w:val="en" w:eastAsia="en"/>
    </w:rPr>
  </w:style>
  <w:style w:type="character" w:styleId="Hyperlink">
    <w:name w:val="Hyperlink"/>
    <w:basedOn w:val="DefaultParagraphFont"/>
    <w:uiPriority w:val="99"/>
    <w:unhideWhenUsed/>
    <w:rsid w:val="00CA618E"/>
    <w:rPr>
      <w:color w:val="467886" w:themeColor="hyperlink"/>
      <w:u w:val="single"/>
    </w:rPr>
  </w:style>
  <w:style w:type="character" w:styleId="UnresolvedMention">
    <w:name w:val="Unresolved Mention"/>
    <w:basedOn w:val="DefaultParagraphFont"/>
    <w:uiPriority w:val="99"/>
    <w:semiHidden/>
    <w:unhideWhenUsed/>
    <w:rsid w:val="00CA618E"/>
    <w:rPr>
      <w:color w:val="605E5C"/>
      <w:shd w:val="clear" w:color="auto" w:fill="E1DFDD"/>
    </w:rPr>
  </w:style>
  <w:style w:type="character" w:styleId="FollowedHyperlink">
    <w:name w:val="FollowedHyperlink"/>
    <w:basedOn w:val="DefaultParagraphFont"/>
    <w:uiPriority w:val="99"/>
    <w:semiHidden/>
    <w:unhideWhenUsed/>
    <w:rsid w:val="00DB6A97"/>
    <w:rPr>
      <w:color w:val="96607D" w:themeColor="followedHyperlink"/>
      <w:u w:val="single"/>
    </w:rPr>
  </w:style>
  <w:style w:type="paragraph" w:styleId="Header">
    <w:name w:val="header"/>
    <w:basedOn w:val="Normal"/>
    <w:link w:val="HeaderChar"/>
    <w:uiPriority w:val="99"/>
    <w:unhideWhenUsed/>
    <w:rsid w:val="009D5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B3E"/>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rules-saps.tamu.edu/PDFs/12.01.99.M1.pdf" TargetMode="External"/><Relationship Id="rId21" Type="http://schemas.openxmlformats.org/officeDocument/2006/relationships/hyperlink" Target="https://facultyaffairs.tamu.edu/evaluation-development/guidelines-to-faculty-titles.html" TargetMode="External"/><Relationship Id="rId42" Type="http://schemas.openxmlformats.org/officeDocument/2006/relationships/hyperlink" Target="https://rules-saps.tamu.edu/PDFs/12.01.99.M1.pdf" TargetMode="External"/><Relationship Id="rId47" Type="http://schemas.openxmlformats.org/officeDocument/2006/relationships/hyperlink" Target="https://rules-saps.tamu.edu/PDFs/12.01.99.M1.pdf" TargetMode="External"/><Relationship Id="rId63" Type="http://schemas.openxmlformats.org/officeDocument/2006/relationships/hyperlink" Target="https://rules-saps.tamu.edu/PDFs/12.06.99.M0.01.pdf" TargetMode="External"/><Relationship Id="rId68" Type="http://schemas.openxmlformats.org/officeDocument/2006/relationships/header" Target="header3.xml"/><Relationship Id="rId7" Type="http://schemas.openxmlformats.org/officeDocument/2006/relationships/hyperlink" Target="https://rules-saps.tamu.edu/PDFs/12.01.99.M2.pdf"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f.tamu.edu/Rules/Faculty-Rules" TargetMode="External"/><Relationship Id="rId29" Type="http://schemas.openxmlformats.org/officeDocument/2006/relationships/hyperlink" Target="https://rules-saps.tamu.edu/PDFs/12.01.99.M1.pdf" TargetMode="External"/><Relationship Id="rId11" Type="http://schemas.openxmlformats.org/officeDocument/2006/relationships/hyperlink" Target="http://policies.tamus.edu/12-01-01.pdf" TargetMode="External"/><Relationship Id="rId24" Type="http://schemas.openxmlformats.org/officeDocument/2006/relationships/hyperlink" Target="https://rules-saps.tamu.edu/PDFs/12.01.99.M1.pdf" TargetMode="External"/><Relationship Id="rId32" Type="http://schemas.openxmlformats.org/officeDocument/2006/relationships/hyperlink" Target="https://rules-saps.tamu.edu/PDFs/12.01.99.M1.pdf" TargetMode="External"/><Relationship Id="rId37" Type="http://schemas.openxmlformats.org/officeDocument/2006/relationships/hyperlink" Target="https://rules-saps.tamu.edu/PDFs/12.01.99.M1.pdf" TargetMode="External"/><Relationship Id="rId40" Type="http://schemas.openxmlformats.org/officeDocument/2006/relationships/hyperlink" Target="http://policies.tamus.edu/33-05-02.pdf" TargetMode="External"/><Relationship Id="rId45" Type="http://schemas.openxmlformats.org/officeDocument/2006/relationships/hyperlink" Target="https://rules-saps.tamu.edu/PDFs/12.06.99.M1.pdf" TargetMode="External"/><Relationship Id="rId53" Type="http://schemas.openxmlformats.org/officeDocument/2006/relationships/hyperlink" Target="https://rules-saps.tamu.edu/PDFs/12.06.99.M1.pdf" TargetMode="External"/><Relationship Id="rId58" Type="http://schemas.openxmlformats.org/officeDocument/2006/relationships/hyperlink" Target="https://rules-saps.tamu.edu/PDFs/12.06.99.M0.01.pdf"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rules-saps.tamu.edu/PDFs/12.06.99.M0.01.pdf" TargetMode="External"/><Relationship Id="rId19" Type="http://schemas.openxmlformats.org/officeDocument/2006/relationships/hyperlink" Target="https://rules-saps.tamu.edu/PDFs/12.01.99.M1.pdf" TargetMode="External"/><Relationship Id="rId14" Type="http://schemas.openxmlformats.org/officeDocument/2006/relationships/hyperlink" Target="http://policies.tamus.edu/12-01-01.pdf" TargetMode="External"/><Relationship Id="rId22" Type="http://schemas.openxmlformats.org/officeDocument/2006/relationships/hyperlink" Target="https://facultyaffairs.tamu.edu/evaluation-development/guidelines-to-faculty-titles.html" TargetMode="External"/><Relationship Id="rId27" Type="http://schemas.openxmlformats.org/officeDocument/2006/relationships/hyperlink" Target="https://rules-saps.tamu.edu/PDFs/12.01.99.M1.pdf" TargetMode="External"/><Relationship Id="rId30" Type="http://schemas.openxmlformats.org/officeDocument/2006/relationships/hyperlink" Target="https://rules-saps.tamu.edu/PDFs/12.01.99.M1.pdf" TargetMode="External"/><Relationship Id="rId35" Type="http://schemas.openxmlformats.org/officeDocument/2006/relationships/hyperlink" Target="https://rules-saps.tamu.edu/PDFs/12.01.99.M1.pdf" TargetMode="External"/><Relationship Id="rId43" Type="http://schemas.openxmlformats.org/officeDocument/2006/relationships/hyperlink" Target="https://rules-saps.tamu.edu/PDFs/12.01.99.M1.pdf" TargetMode="External"/><Relationship Id="rId48" Type="http://schemas.openxmlformats.org/officeDocument/2006/relationships/hyperlink" Target="https://rules-saps.tamu.edu/PDFs/31.08.01.M2.pdf" TargetMode="External"/><Relationship Id="rId56" Type="http://schemas.openxmlformats.org/officeDocument/2006/relationships/hyperlink" Target="https://rules-saps.tamu.edu/PDFs/12.99.99.M0.01.pdf"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rules-saps.tamu.edu/PDFs/12.01.99.M2.pdf" TargetMode="External"/><Relationship Id="rId51" Type="http://schemas.openxmlformats.org/officeDocument/2006/relationships/hyperlink" Target="https://rules-saps.tamu.edu/PDFs/12.01.99.M1.pdf" TargetMode="External"/><Relationship Id="rId3" Type="http://schemas.openxmlformats.org/officeDocument/2006/relationships/settings" Target="settings.xml"/><Relationship Id="rId12" Type="http://schemas.openxmlformats.org/officeDocument/2006/relationships/hyperlink" Target="http://policies.tamus.edu/12-01-01.pdf" TargetMode="External"/><Relationship Id="rId17" Type="http://schemas.openxmlformats.org/officeDocument/2006/relationships/hyperlink" Target="https://dof.tamu.edu/Rules/Faculty-Rules" TargetMode="External"/><Relationship Id="rId25" Type="http://schemas.openxmlformats.org/officeDocument/2006/relationships/hyperlink" Target="https://rules-saps.tamu.edu/PDFs/12.01.99.M1.pdf" TargetMode="External"/><Relationship Id="rId33" Type="http://schemas.openxmlformats.org/officeDocument/2006/relationships/hyperlink" Target="https://rules-saps.tamu.edu/PDFs/12.01.99.M1.pdf" TargetMode="External"/><Relationship Id="rId38" Type="http://schemas.openxmlformats.org/officeDocument/2006/relationships/hyperlink" Target="https://rules-saps.tamu.edu/PDFs/12.01.99.M1.pdf" TargetMode="External"/><Relationship Id="rId46" Type="http://schemas.openxmlformats.org/officeDocument/2006/relationships/hyperlink" Target="https://rules-saps.tamu.edu/PDFs/12.01.99.M1.pdf" TargetMode="External"/><Relationship Id="rId59" Type="http://schemas.openxmlformats.org/officeDocument/2006/relationships/hyperlink" Target="https://rules-saps.tamu.edu/PDFs/12.06.99.M0.01.pdf" TargetMode="External"/><Relationship Id="rId67" Type="http://schemas.openxmlformats.org/officeDocument/2006/relationships/footer" Target="footer2.xml"/><Relationship Id="rId20" Type="http://schemas.openxmlformats.org/officeDocument/2006/relationships/hyperlink" Target="https://facultyaffairs.tamu.edu/evaluation-development/guidelines-to-faculty-titles.html" TargetMode="External"/><Relationship Id="rId41" Type="http://schemas.openxmlformats.org/officeDocument/2006/relationships/hyperlink" Target="http://policies.tamus.edu/33-05-02.pdf" TargetMode="External"/><Relationship Id="rId54" Type="http://schemas.openxmlformats.org/officeDocument/2006/relationships/hyperlink" Target="https://rules-saps.tamu.edu/PDFs/12.06.99.M0.01.pdf" TargetMode="External"/><Relationship Id="rId62" Type="http://schemas.openxmlformats.org/officeDocument/2006/relationships/hyperlink" Target="https://rules-saps.tamu.edu/PDFs/12.06.99.M0.01.pdf"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olicies.tamus.edu/12-01-01.pdf" TargetMode="External"/><Relationship Id="rId23" Type="http://schemas.openxmlformats.org/officeDocument/2006/relationships/hyperlink" Target="https://facultyaffairs.tamu.edu/evaluation-development/guidelines-to-faculty-titles.html" TargetMode="External"/><Relationship Id="rId28" Type="http://schemas.openxmlformats.org/officeDocument/2006/relationships/hyperlink" Target="https://rules-saps.tamu.edu/PDFs/12.01.99.M1.pdf" TargetMode="External"/><Relationship Id="rId36" Type="http://schemas.openxmlformats.org/officeDocument/2006/relationships/hyperlink" Target="https://rules-saps.tamu.edu/PDFs/12.01.99.M1.pdf" TargetMode="External"/><Relationship Id="rId49" Type="http://schemas.openxmlformats.org/officeDocument/2006/relationships/hyperlink" Target="https://rules-saps.tamu.edu/PDFs/31.08.01.M2.pdf" TargetMode="External"/><Relationship Id="rId57" Type="http://schemas.openxmlformats.org/officeDocument/2006/relationships/hyperlink" Target="https://rules-saps.tamu.edu/PDFs/12.99.99.M0.01.pdf" TargetMode="External"/><Relationship Id="rId10" Type="http://schemas.openxmlformats.org/officeDocument/2006/relationships/hyperlink" Target="https://www.tamu.edu/statements/mission.html" TargetMode="External"/><Relationship Id="rId31" Type="http://schemas.openxmlformats.org/officeDocument/2006/relationships/hyperlink" Target="https://rules-saps.tamu.edu/PDFs/12.01.99.M1.pdf" TargetMode="External"/><Relationship Id="rId44" Type="http://schemas.openxmlformats.org/officeDocument/2006/relationships/hyperlink" Target="https://rules-saps.tamu.edu/PDFs/12.06.99.M1.pdf" TargetMode="External"/><Relationship Id="rId52" Type="http://schemas.openxmlformats.org/officeDocument/2006/relationships/hyperlink" Target="https://rules-saps.tamu.edu/PDFs/12.01.99.M1.pdf" TargetMode="External"/><Relationship Id="rId60" Type="http://schemas.openxmlformats.org/officeDocument/2006/relationships/hyperlink" Target="https://rules-saps.tamu.edu/PDFs/12.06.99.M0.01.pdf"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amu.edu/statements/mission.html" TargetMode="External"/><Relationship Id="rId13" Type="http://schemas.openxmlformats.org/officeDocument/2006/relationships/hyperlink" Target="http://policies.tamus.edu/12-01-01.pdf" TargetMode="External"/><Relationship Id="rId18" Type="http://schemas.openxmlformats.org/officeDocument/2006/relationships/hyperlink" Target="https://rules-saps.tamu.edu/PDFs/12.01.99.M1.pdf" TargetMode="External"/><Relationship Id="rId39" Type="http://schemas.openxmlformats.org/officeDocument/2006/relationships/hyperlink" Target="https://rules-saps.tamu.edu/PDFs/12.01.99.M1.pdf" TargetMode="External"/><Relationship Id="rId34" Type="http://schemas.openxmlformats.org/officeDocument/2006/relationships/hyperlink" Target="https://rules-saps.tamu.edu/PDFs/12.01.99.M1.pdf" TargetMode="External"/><Relationship Id="rId50" Type="http://schemas.openxmlformats.org/officeDocument/2006/relationships/hyperlink" Target="https://artsci.tamu.edu/information/images/cas-faculty-evaluation-guidelines-52124.pdf" TargetMode="External"/><Relationship Id="rId55" Type="http://schemas.openxmlformats.org/officeDocument/2006/relationships/hyperlink" Target="https://rules-saps.tamu.edu/PDFs/12.06.99.M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8911</Words>
  <Characters>55076</Characters>
  <Application>Microsoft Office Word</Application>
  <DocSecurity>4</DocSecurity>
  <Lines>933</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Beladi, Kathy A</cp:lastModifiedBy>
  <cp:revision>2</cp:revision>
  <dcterms:created xsi:type="dcterms:W3CDTF">2026-04-01T19:24:00Z</dcterms:created>
  <dcterms:modified xsi:type="dcterms:W3CDTF">2026-04-01T19:24:00Z</dcterms:modified>
</cp:coreProperties>
</file>